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D577F5">
      <w:pPr>
        <w:jc w:val="center"/>
        <w:rPr>
          <w:rFonts w:hint="eastAsia"/>
          <w:b/>
          <w:bCs/>
          <w:sz w:val="30"/>
          <w:szCs w:val="30"/>
          <w:lang w:eastAsia="zh-CN"/>
        </w:rPr>
      </w:pPr>
      <w:r>
        <w:rPr>
          <w:rStyle w:val="7"/>
          <w:rFonts w:hint="eastAsia"/>
          <w:sz w:val="30"/>
          <w:szCs w:val="30"/>
          <w:lang w:val="en-US" w:eastAsia="zh-CN"/>
        </w:rPr>
        <w:t>（一）采购</w:t>
      </w:r>
      <w:r>
        <w:rPr>
          <w:rFonts w:hint="eastAsia"/>
          <w:b/>
          <w:bCs/>
          <w:sz w:val="30"/>
          <w:szCs w:val="30"/>
          <w:lang w:eastAsia="zh-CN"/>
        </w:rPr>
        <w:t>要求</w:t>
      </w:r>
      <w:bookmarkStart w:id="0" w:name="_Toc1114"/>
    </w:p>
    <w:p w14:paraId="26A2D928">
      <w:pPr>
        <w:spacing w:line="360" w:lineRule="auto"/>
        <w:ind w:firstLine="480" w:firstLineChars="200"/>
        <w:rPr>
          <w:rFonts w:hint="eastAsia" w:ascii="宋体" w:hAnsi="宋体" w:eastAsia="宋体" w:cs="Times New Roman"/>
          <w:sz w:val="24"/>
        </w:rPr>
      </w:pPr>
      <w:bookmarkStart w:id="1" w:name="_GoBack"/>
      <w:bookmarkEnd w:id="1"/>
    </w:p>
    <w:p w14:paraId="0F6709D0">
      <w:pPr>
        <w:pStyle w:val="2"/>
        <w:rPr>
          <w:rFonts w:hint="eastAsia"/>
          <w:sz w:val="48"/>
          <w:szCs w:val="48"/>
          <w:lang w:val="en-US" w:eastAsia="zh-CN"/>
        </w:rPr>
      </w:pPr>
      <w:r>
        <w:rPr>
          <w:rFonts w:hint="eastAsia" w:ascii="宋体" w:hAnsi="宋体" w:eastAsia="宋体" w:cs="宋体"/>
          <w:b w:val="0"/>
          <w:bCs/>
          <w:sz w:val="28"/>
          <w:szCs w:val="28"/>
          <w:lang w:val="en-US" w:eastAsia="zh-CN"/>
        </w:rPr>
        <w:t>雨山湖院区3号楼50个房间物品采购。</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2"/>
        <w:gridCol w:w="1411"/>
        <w:gridCol w:w="1011"/>
        <w:gridCol w:w="4648"/>
      </w:tblGrid>
      <w:tr w14:paraId="120ED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4" w:type="dxa"/>
            <w:noWrap w:val="0"/>
            <w:vAlign w:val="top"/>
          </w:tcPr>
          <w:p w14:paraId="45181BAC">
            <w:r>
              <w:rPr>
                <w:rFonts w:hint="eastAsia"/>
              </w:rPr>
              <w:t>名称</w:t>
            </w:r>
          </w:p>
        </w:tc>
        <w:tc>
          <w:tcPr>
            <w:tcW w:w="1733" w:type="dxa"/>
            <w:noWrap w:val="0"/>
            <w:vAlign w:val="top"/>
          </w:tcPr>
          <w:p w14:paraId="2CD3D4C3">
            <w:r>
              <w:rPr>
                <w:rFonts w:hint="eastAsia"/>
              </w:rPr>
              <w:t>数量及规格</w:t>
            </w:r>
          </w:p>
        </w:tc>
        <w:tc>
          <w:tcPr>
            <w:tcW w:w="1125" w:type="dxa"/>
            <w:noWrap w:val="0"/>
            <w:vAlign w:val="top"/>
          </w:tcPr>
          <w:p w14:paraId="585B4C31">
            <w:pPr>
              <w:rPr>
                <w:rFonts w:hint="eastAsia"/>
                <w:b/>
                <w:bCs/>
                <w:highlight w:val="yellow"/>
              </w:rPr>
            </w:pPr>
            <w:r>
              <w:rPr>
                <w:rFonts w:hint="eastAsia"/>
                <w:b/>
                <w:bCs/>
                <w:highlight w:val="yellow"/>
                <w:lang w:val="en-US" w:eastAsia="zh-CN"/>
              </w:rPr>
              <w:t>最高限制</w:t>
            </w:r>
            <w:r>
              <w:rPr>
                <w:rFonts w:hint="eastAsia"/>
                <w:b/>
                <w:bCs/>
                <w:highlight w:val="yellow"/>
              </w:rPr>
              <w:t>单价（元）</w:t>
            </w:r>
          </w:p>
        </w:tc>
        <w:tc>
          <w:tcPr>
            <w:tcW w:w="6675" w:type="dxa"/>
            <w:noWrap w:val="0"/>
            <w:vAlign w:val="top"/>
          </w:tcPr>
          <w:p w14:paraId="6E44B71B">
            <w:r>
              <w:rPr>
                <w:rFonts w:hint="eastAsia"/>
              </w:rPr>
              <w:t>参数</w:t>
            </w:r>
          </w:p>
        </w:tc>
      </w:tr>
      <w:tr w14:paraId="5FE84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4" w:type="dxa"/>
            <w:noWrap w:val="0"/>
            <w:vAlign w:val="top"/>
          </w:tcPr>
          <w:p w14:paraId="15C9C039">
            <w:r>
              <w:rPr>
                <w:rFonts w:hint="eastAsia"/>
              </w:rPr>
              <w:t>窗帘轨道</w:t>
            </w:r>
          </w:p>
        </w:tc>
        <w:tc>
          <w:tcPr>
            <w:tcW w:w="1733" w:type="dxa"/>
            <w:noWrap w:val="0"/>
            <w:vAlign w:val="top"/>
          </w:tcPr>
          <w:p w14:paraId="4E8AD2DC">
            <w:r>
              <w:rPr>
                <w:rFonts w:hint="eastAsia"/>
              </w:rPr>
              <w:t>168米</w:t>
            </w:r>
          </w:p>
        </w:tc>
        <w:tc>
          <w:tcPr>
            <w:tcW w:w="1125" w:type="dxa"/>
            <w:noWrap w:val="0"/>
            <w:vAlign w:val="top"/>
          </w:tcPr>
          <w:p w14:paraId="17B5B9A4">
            <w:pPr>
              <w:rPr>
                <w:b/>
                <w:bCs/>
                <w:highlight w:val="yellow"/>
              </w:rPr>
            </w:pPr>
            <w:r>
              <w:rPr>
                <w:rFonts w:hint="eastAsia"/>
                <w:b/>
                <w:bCs/>
                <w:highlight w:val="yellow"/>
              </w:rPr>
              <w:t>25</w:t>
            </w:r>
          </w:p>
        </w:tc>
        <w:tc>
          <w:tcPr>
            <w:tcW w:w="6675" w:type="dxa"/>
            <w:noWrap w:val="0"/>
            <w:vAlign w:val="top"/>
          </w:tcPr>
          <w:p w14:paraId="46663D31">
            <w:pPr>
              <w:jc w:val="left"/>
              <w:rPr>
                <w:rFonts w:hint="eastAsia" w:ascii="宋体" w:hAnsi="宋体"/>
                <w:color w:val="000000"/>
                <w:sz w:val="22"/>
              </w:rPr>
            </w:pPr>
            <w:r>
              <w:rPr>
                <w:rFonts w:hint="eastAsia" w:ascii="宋体" w:hAnsi="宋体"/>
                <w:color w:val="000000"/>
                <w:sz w:val="22"/>
              </w:rPr>
              <w:t>1.主体材质：铝合金;</w:t>
            </w:r>
          </w:p>
          <w:p w14:paraId="71E49DCC">
            <w:pPr>
              <w:jc w:val="left"/>
              <w:rPr>
                <w:rFonts w:hint="eastAsia" w:ascii="宋体" w:hAnsi="宋体"/>
                <w:color w:val="000000"/>
                <w:sz w:val="22"/>
              </w:rPr>
            </w:pPr>
            <w:r>
              <w:rPr>
                <w:rFonts w:hint="eastAsia" w:ascii="宋体" w:hAnsi="宋体"/>
                <w:color w:val="000000"/>
                <w:sz w:val="22"/>
              </w:rPr>
              <w:t>2.尺寸外形：宽度 20mm±5%，高度 20mm±5%，壁厚≥2.0mm;</w:t>
            </w:r>
          </w:p>
          <w:p w14:paraId="6551B7B0">
            <w:r>
              <w:rPr>
                <w:rFonts w:hint="eastAsia" w:ascii="宋体" w:hAnsi="宋体"/>
                <w:color w:val="000000"/>
                <w:sz w:val="22"/>
              </w:rPr>
              <w:t>3.中性盐雾：按 GB/T10125-2012 标准检测（试验温度：（35±2）℃、 溶液温度（5±0.5）%、ph 值 6.5-7.2 等）评定结果≥10 级；</w:t>
            </w:r>
          </w:p>
        </w:tc>
      </w:tr>
      <w:tr w14:paraId="075EF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24" w:type="dxa"/>
            <w:noWrap w:val="0"/>
            <w:vAlign w:val="top"/>
          </w:tcPr>
          <w:p w14:paraId="62F4D2AF">
            <w:r>
              <w:rPr>
                <w:rFonts w:hint="eastAsia"/>
              </w:rPr>
              <w:t>窗帘（遮光布帘）</w:t>
            </w:r>
          </w:p>
          <w:p w14:paraId="3F4A03BC">
            <w:pPr>
              <w:rPr>
                <w:rStyle w:val="8"/>
                <w:sz w:val="24"/>
                <w:szCs w:val="24"/>
                <w:lang w:bidi="ar"/>
              </w:rPr>
            </w:pPr>
            <w:r>
              <w:rPr>
                <w:rStyle w:val="8"/>
                <w:sz w:val="24"/>
                <w:szCs w:val="24"/>
                <w:lang w:bidi="ar"/>
              </w:rPr>
              <w:t>定高约2.7 米根据实际情况调整</w:t>
            </w:r>
          </w:p>
          <w:p w14:paraId="34D48023">
            <w:r>
              <w:rPr>
                <w:rStyle w:val="8"/>
                <w:sz w:val="24"/>
                <w:szCs w:val="24"/>
                <w:lang w:bidi="ar"/>
              </w:rPr>
              <w:t>每对含2条绑带</w:t>
            </w:r>
          </w:p>
        </w:tc>
        <w:tc>
          <w:tcPr>
            <w:tcW w:w="1733" w:type="dxa"/>
            <w:noWrap w:val="0"/>
            <w:vAlign w:val="top"/>
          </w:tcPr>
          <w:p w14:paraId="311A9C43">
            <w:r>
              <w:rPr>
                <w:rFonts w:hint="eastAsia"/>
              </w:rPr>
              <w:t>336米</w:t>
            </w:r>
          </w:p>
        </w:tc>
        <w:tc>
          <w:tcPr>
            <w:tcW w:w="1125" w:type="dxa"/>
            <w:noWrap w:val="0"/>
            <w:vAlign w:val="top"/>
          </w:tcPr>
          <w:p w14:paraId="5874E293">
            <w:pPr>
              <w:rPr>
                <w:b/>
                <w:bCs/>
                <w:highlight w:val="yellow"/>
              </w:rPr>
            </w:pPr>
            <w:r>
              <w:rPr>
                <w:b/>
                <w:bCs/>
                <w:highlight w:val="yellow"/>
              </w:rPr>
              <w:t>45</w:t>
            </w:r>
          </w:p>
        </w:tc>
        <w:tc>
          <w:tcPr>
            <w:tcW w:w="6675" w:type="dxa"/>
            <w:noWrap w:val="0"/>
            <w:vAlign w:val="top"/>
          </w:tcPr>
          <w:p w14:paraId="2390B2D9">
            <w:pPr>
              <w:pStyle w:val="9"/>
              <w:spacing w:before="90" w:line="300" w:lineRule="exact"/>
              <w:ind w:left="127" w:right="46"/>
              <w:rPr>
                <w:rFonts w:hint="eastAsia" w:ascii="宋体" w:hAnsi="宋体" w:cs="宋体"/>
                <w:spacing w:val="-13"/>
                <w:sz w:val="24"/>
                <w:szCs w:val="24"/>
                <w:lang w:eastAsia="zh-CN"/>
              </w:rPr>
            </w:pPr>
            <w:r>
              <w:rPr>
                <w:rFonts w:hint="eastAsia" w:ascii="宋体" w:hAnsi="宋体"/>
                <w:color w:val="000000"/>
                <w:lang w:eastAsia="zh-CN"/>
              </w:rPr>
              <w:t xml:space="preserve"> </w:t>
            </w:r>
            <w:r>
              <w:rPr>
                <w:rFonts w:hint="eastAsia" w:ascii="宋体" w:hAnsi="宋体" w:cs="宋体"/>
                <w:spacing w:val="-3"/>
                <w:sz w:val="24"/>
                <w:szCs w:val="24"/>
                <w:lang w:eastAsia="zh-CN"/>
              </w:rPr>
              <w:t>防紫外线遮光布：压花环保遮光布，胚布克重≥</w:t>
            </w:r>
            <w:r>
              <w:rPr>
                <w:rFonts w:hint="eastAsia" w:ascii="宋体" w:hAnsi="宋体" w:cs="宋体"/>
                <w:sz w:val="24"/>
                <w:szCs w:val="24"/>
                <w:lang w:eastAsia="zh-CN"/>
              </w:rPr>
              <w:t>900</w:t>
            </w:r>
            <w:r>
              <w:rPr>
                <w:rFonts w:hint="eastAsia" w:ascii="宋体" w:hAnsi="宋体" w:cs="宋体"/>
                <w:spacing w:val="-24"/>
                <w:sz w:val="24"/>
                <w:szCs w:val="24"/>
                <w:lang w:eastAsia="zh-CN"/>
              </w:rPr>
              <w:t xml:space="preserve"> 克</w:t>
            </w:r>
            <w:r>
              <w:rPr>
                <w:rFonts w:hint="eastAsia" w:ascii="宋体" w:hAnsi="宋体" w:cs="宋体"/>
                <w:sz w:val="24"/>
                <w:szCs w:val="24"/>
                <w:lang w:eastAsia="zh-CN"/>
              </w:rPr>
              <w:t xml:space="preserve">/ </w:t>
            </w:r>
            <w:r>
              <w:rPr>
                <w:rFonts w:hint="eastAsia" w:ascii="宋体" w:hAnsi="宋体" w:cs="宋体"/>
                <w:spacing w:val="-10"/>
                <w:sz w:val="24"/>
                <w:szCs w:val="24"/>
                <w:lang w:eastAsia="zh-CN"/>
              </w:rPr>
              <w:t xml:space="preserve">米，遮光 </w:t>
            </w:r>
            <w:r>
              <w:rPr>
                <w:rFonts w:hint="eastAsia" w:ascii="宋体" w:hAnsi="宋体" w:cs="宋体"/>
                <w:sz w:val="24"/>
                <w:szCs w:val="24"/>
                <w:lang w:eastAsia="zh-CN"/>
              </w:rPr>
              <w:t>100%，</w:t>
            </w:r>
            <w:r>
              <w:rPr>
                <w:rFonts w:hint="eastAsia" w:ascii="宋体" w:hAnsi="宋体" w:cs="宋体"/>
                <w:spacing w:val="-3"/>
                <w:sz w:val="24"/>
                <w:szCs w:val="24"/>
                <w:lang w:eastAsia="zh-CN"/>
              </w:rPr>
              <w:t xml:space="preserve">环保，隔音，隔热，可水洗，洗后不变形不褪色耐污染，有效防止紫外线对人体的伤害。阻燃要求符合国家公共场所纺织物消防等级 </w:t>
            </w:r>
            <w:r>
              <w:rPr>
                <w:rFonts w:hint="eastAsia" w:ascii="宋体" w:hAnsi="宋体" w:cs="宋体"/>
                <w:sz w:val="24"/>
                <w:szCs w:val="24"/>
                <w:lang w:eastAsia="zh-CN"/>
              </w:rPr>
              <w:t>B1</w:t>
            </w:r>
            <w:r>
              <w:rPr>
                <w:rFonts w:hint="eastAsia" w:ascii="宋体" w:hAnsi="宋体" w:cs="宋体"/>
                <w:spacing w:val="-13"/>
                <w:sz w:val="24"/>
                <w:szCs w:val="24"/>
                <w:lang w:eastAsia="zh-CN"/>
              </w:rPr>
              <w:t xml:space="preserve"> 级永久阻燃。</w:t>
            </w:r>
          </w:p>
          <w:p w14:paraId="0864F3C7">
            <w:pPr>
              <w:rPr>
                <w:rFonts w:hint="eastAsia"/>
              </w:rPr>
            </w:pPr>
            <w:r>
              <w:rPr>
                <w:rFonts w:hint="eastAsia" w:ascii="宋体" w:hAnsi="宋体" w:cs="宋体"/>
                <w:sz w:val="24"/>
              </w:rPr>
              <w:t xml:space="preserve"> </w:t>
            </w:r>
          </w:p>
        </w:tc>
      </w:tr>
      <w:tr w14:paraId="237C8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4" w:type="dxa"/>
            <w:noWrap w:val="0"/>
            <w:vAlign w:val="top"/>
          </w:tcPr>
          <w:p w14:paraId="467614AC">
            <w:r>
              <w:rPr>
                <w:rFonts w:hint="eastAsia"/>
              </w:rPr>
              <w:t>窗帘布带</w:t>
            </w:r>
          </w:p>
        </w:tc>
        <w:tc>
          <w:tcPr>
            <w:tcW w:w="1733" w:type="dxa"/>
            <w:noWrap w:val="0"/>
            <w:vAlign w:val="top"/>
          </w:tcPr>
          <w:p w14:paraId="0BA9E338">
            <w:r>
              <w:rPr>
                <w:rFonts w:hint="eastAsia"/>
              </w:rPr>
              <w:t>336米</w:t>
            </w:r>
          </w:p>
        </w:tc>
        <w:tc>
          <w:tcPr>
            <w:tcW w:w="1125" w:type="dxa"/>
            <w:noWrap w:val="0"/>
            <w:vAlign w:val="top"/>
          </w:tcPr>
          <w:p w14:paraId="5C66F4F2">
            <w:pPr>
              <w:rPr>
                <w:b/>
                <w:bCs/>
                <w:highlight w:val="yellow"/>
              </w:rPr>
            </w:pPr>
            <w:r>
              <w:rPr>
                <w:rFonts w:hint="eastAsia"/>
                <w:b/>
                <w:bCs/>
                <w:highlight w:val="yellow"/>
              </w:rPr>
              <w:t>5</w:t>
            </w:r>
          </w:p>
        </w:tc>
        <w:tc>
          <w:tcPr>
            <w:tcW w:w="6675" w:type="dxa"/>
            <w:noWrap w:val="0"/>
            <w:vAlign w:val="top"/>
          </w:tcPr>
          <w:p w14:paraId="199BFEA6">
            <w:r>
              <w:rPr>
                <w:rStyle w:val="10"/>
                <w:sz w:val="24"/>
                <w:szCs w:val="24"/>
                <w:lang w:bidi="ar"/>
              </w:rPr>
              <w:t>有纺纯棉布带</w:t>
            </w:r>
          </w:p>
        </w:tc>
      </w:tr>
      <w:tr w14:paraId="664BA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4" w:type="dxa"/>
            <w:noWrap w:val="0"/>
            <w:vAlign w:val="top"/>
          </w:tcPr>
          <w:p w14:paraId="1F8BF562">
            <w:pPr>
              <w:rPr>
                <w:rFonts w:hint="eastAsia"/>
              </w:rPr>
            </w:pPr>
            <w:r>
              <w:rPr>
                <w:rFonts w:hint="eastAsia"/>
              </w:rPr>
              <w:t>钩子</w:t>
            </w:r>
          </w:p>
        </w:tc>
        <w:tc>
          <w:tcPr>
            <w:tcW w:w="1733" w:type="dxa"/>
            <w:noWrap w:val="0"/>
            <w:vAlign w:val="top"/>
          </w:tcPr>
          <w:p w14:paraId="3CF03585">
            <w:r>
              <w:rPr>
                <w:rFonts w:hint="eastAsia"/>
              </w:rPr>
              <w:t>1130个</w:t>
            </w:r>
          </w:p>
        </w:tc>
        <w:tc>
          <w:tcPr>
            <w:tcW w:w="1125" w:type="dxa"/>
            <w:noWrap w:val="0"/>
            <w:vAlign w:val="top"/>
          </w:tcPr>
          <w:p w14:paraId="36F99219">
            <w:pPr>
              <w:rPr>
                <w:b/>
                <w:bCs/>
                <w:highlight w:val="yellow"/>
              </w:rPr>
            </w:pPr>
            <w:r>
              <w:rPr>
                <w:rFonts w:hint="eastAsia"/>
                <w:b/>
                <w:bCs/>
                <w:highlight w:val="yellow"/>
              </w:rPr>
              <w:t>1</w:t>
            </w:r>
          </w:p>
        </w:tc>
        <w:tc>
          <w:tcPr>
            <w:tcW w:w="6675" w:type="dxa"/>
            <w:noWrap w:val="0"/>
            <w:vAlign w:val="top"/>
          </w:tcPr>
          <w:p w14:paraId="502AF857">
            <w:r>
              <w:rPr>
                <w:rStyle w:val="10"/>
                <w:sz w:val="24"/>
                <w:szCs w:val="24"/>
                <w:lang w:bidi="ar"/>
              </w:rPr>
              <w:t>铁质烤漆</w:t>
            </w:r>
          </w:p>
        </w:tc>
      </w:tr>
      <w:tr w14:paraId="1F7DD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4" w:type="dxa"/>
            <w:noWrap w:val="0"/>
            <w:vAlign w:val="top"/>
          </w:tcPr>
          <w:p w14:paraId="31CE545E">
            <w:r>
              <w:rPr>
                <w:rFonts w:hint="eastAsia"/>
              </w:rPr>
              <w:t>高低床（每张高低床含2个床垫）</w:t>
            </w:r>
          </w:p>
          <w:p w14:paraId="1C550245"/>
        </w:tc>
        <w:tc>
          <w:tcPr>
            <w:tcW w:w="1733" w:type="dxa"/>
            <w:noWrap w:val="0"/>
            <w:vAlign w:val="top"/>
          </w:tcPr>
          <w:p w14:paraId="04001EE9">
            <w:pPr>
              <w:rPr>
                <w:rFonts w:hint="eastAsia"/>
              </w:rPr>
            </w:pPr>
            <w:r>
              <w:rPr>
                <w:rFonts w:hint="eastAsia"/>
              </w:rPr>
              <w:t>20张</w:t>
            </w:r>
          </w:p>
          <w:p w14:paraId="3D3DF2E1">
            <w:r>
              <w:rPr>
                <w:rFonts w:hint="eastAsia"/>
              </w:rPr>
              <w:t>（长2米、宽1米、高1.8米）</w:t>
            </w:r>
          </w:p>
        </w:tc>
        <w:tc>
          <w:tcPr>
            <w:tcW w:w="1125" w:type="dxa"/>
            <w:noWrap w:val="0"/>
            <w:vAlign w:val="top"/>
          </w:tcPr>
          <w:p w14:paraId="4E6D54BC">
            <w:pPr>
              <w:rPr>
                <w:b/>
                <w:bCs/>
                <w:highlight w:val="yellow"/>
              </w:rPr>
            </w:pPr>
            <w:r>
              <w:rPr>
                <w:rFonts w:hint="eastAsia"/>
                <w:b/>
                <w:bCs/>
                <w:highlight w:val="yellow"/>
              </w:rPr>
              <w:t>1</w:t>
            </w:r>
            <w:r>
              <w:rPr>
                <w:b/>
                <w:bCs/>
                <w:highlight w:val="yellow"/>
              </w:rPr>
              <w:t>759</w:t>
            </w:r>
          </w:p>
        </w:tc>
        <w:tc>
          <w:tcPr>
            <w:tcW w:w="6675" w:type="dxa"/>
            <w:noWrap w:val="0"/>
            <w:vAlign w:val="top"/>
          </w:tcPr>
          <w:p w14:paraId="713FE71F">
            <w:r>
              <w:t>床架：采用优质采用松木实木框架含水率≤12.0%，自然木纹，拼合细密，外观无裂缝、无树节子、无孔洞等缺陷。材质密度好，木纹清晰，不变形。油漆：采用优质环保型哑光聚胺脂木器漆，硬度大、耐压、耐高温、漆膜坚硬、附着力强、不易爆裂脱落，符合GB18581-2001的规定达到国家标准。四腿落地，上下梯，上层防摔护栏，榫卯结构，结实稳固，不晃动。油漆：采用环保聚酯油漆，经八次打磨五底三面磨退工艺处理，附着力强、透明度高、耐磨性好，无颗粒、无气泡、无渣点，色泽柔和，手感良好。每道工艺之间需经过自然阴干，保证含水率以达到漆膜的润度。甲苯、二甲苯、乙苯总和≤23%，挥发性有机化合物（voc）≤665g/L。</w:t>
            </w:r>
          </w:p>
          <w:p w14:paraId="3DAD76DB">
            <w:r>
              <w:t>床板：采用≥15mm厚度松木板，结实耐用，绿色环保产品甲醛释放量≤9mg/100g。</w:t>
            </w:r>
          </w:p>
          <w:p w14:paraId="208108A1">
            <w:r>
              <w:t>床垫面料,采用优质帆布面料;</w:t>
            </w:r>
          </w:p>
          <w:p w14:paraId="295BBC4C">
            <w:r>
              <w:t>床垫内芯4公分优质环保3E棕，舒适层采用4公分高密度回弹海绵，无异味，软硬两用，非棕垫；辅垫料纤维经高温消毒工艺处理。</w:t>
            </w:r>
          </w:p>
        </w:tc>
      </w:tr>
      <w:tr w14:paraId="4BFEB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4" w:type="dxa"/>
            <w:noWrap w:val="0"/>
            <w:vAlign w:val="top"/>
          </w:tcPr>
          <w:p w14:paraId="699708DC">
            <w:r>
              <w:rPr>
                <w:rFonts w:hint="eastAsia"/>
              </w:rPr>
              <w:t>镜子</w:t>
            </w:r>
          </w:p>
        </w:tc>
        <w:tc>
          <w:tcPr>
            <w:tcW w:w="1733" w:type="dxa"/>
            <w:noWrap w:val="0"/>
            <w:vAlign w:val="top"/>
          </w:tcPr>
          <w:p w14:paraId="7A880010">
            <w:pPr>
              <w:rPr>
                <w:rFonts w:hint="eastAsia"/>
              </w:rPr>
            </w:pPr>
            <w:r>
              <w:rPr>
                <w:rFonts w:hint="eastAsia"/>
              </w:rPr>
              <w:t>15块</w:t>
            </w:r>
          </w:p>
          <w:p w14:paraId="407CADA5">
            <w:r>
              <w:rPr>
                <w:rFonts w:hint="eastAsia"/>
              </w:rPr>
              <w:t>（50*80厘米）</w:t>
            </w:r>
          </w:p>
        </w:tc>
        <w:tc>
          <w:tcPr>
            <w:tcW w:w="1125" w:type="dxa"/>
            <w:noWrap w:val="0"/>
            <w:vAlign w:val="top"/>
          </w:tcPr>
          <w:p w14:paraId="18CDAB44">
            <w:pPr>
              <w:rPr>
                <w:b/>
                <w:bCs/>
                <w:highlight w:val="yellow"/>
              </w:rPr>
            </w:pPr>
            <w:r>
              <w:rPr>
                <w:rFonts w:hint="eastAsia"/>
                <w:b/>
                <w:bCs/>
                <w:highlight w:val="yellow"/>
              </w:rPr>
              <w:t>60</w:t>
            </w:r>
          </w:p>
        </w:tc>
        <w:tc>
          <w:tcPr>
            <w:tcW w:w="6675" w:type="dxa"/>
            <w:noWrap w:val="0"/>
            <w:vAlign w:val="top"/>
          </w:tcPr>
          <w:p w14:paraId="24708594">
            <w:r>
              <w:rPr>
                <w:rFonts w:hint="eastAsia"/>
              </w:rPr>
              <w:t>亚克力防爆软镜子</w:t>
            </w:r>
          </w:p>
        </w:tc>
      </w:tr>
    </w:tbl>
    <w:p w14:paraId="42D5064A">
      <w:pPr>
        <w:rPr>
          <w:rFonts w:hint="eastAsia"/>
          <w:color w:val="FF0000"/>
          <w:sz w:val="28"/>
          <w:szCs w:val="28"/>
          <w:highlight w:val="yellow"/>
          <w:lang w:val="en-US" w:eastAsia="zh-CN"/>
        </w:rPr>
      </w:pPr>
    </w:p>
    <w:p w14:paraId="39926655">
      <w:pPr>
        <w:rPr>
          <w:rFonts w:hint="eastAsia"/>
          <w:color w:val="FF0000"/>
          <w:sz w:val="28"/>
          <w:szCs w:val="28"/>
          <w:highlight w:val="yellow"/>
          <w:lang w:val="en-US" w:eastAsia="zh-CN"/>
        </w:rPr>
      </w:pPr>
      <w:r>
        <w:rPr>
          <w:rFonts w:hint="eastAsia"/>
          <w:color w:val="FF0000"/>
          <w:sz w:val="28"/>
          <w:szCs w:val="28"/>
          <w:highlight w:val="yellow"/>
          <w:lang w:val="en-US" w:eastAsia="zh-CN"/>
        </w:rPr>
        <w:t>注：供应商总报价不得高于本项目最高限价，单价不得高于本项目最高限制单价，否则评审小组视为符合性审查不通过。</w:t>
      </w:r>
    </w:p>
    <w:p w14:paraId="62D1D34C">
      <w:pPr>
        <w:pStyle w:val="2"/>
        <w:rPr>
          <w:rFonts w:hint="default"/>
          <w:lang w:val="en-US" w:eastAsia="zh-CN"/>
        </w:rPr>
      </w:pPr>
    </w:p>
    <w:p w14:paraId="74E9BAB4">
      <w:pPr>
        <w:pStyle w:val="2"/>
        <w:rPr>
          <w:rFonts w:hint="default"/>
          <w:lang w:val="en-US" w:eastAsia="zh-CN"/>
        </w:rPr>
      </w:pPr>
      <w:r>
        <w:rPr>
          <w:rFonts w:hint="eastAsia"/>
          <w:color w:val="FF0000"/>
          <w:highlight w:val="yellow"/>
          <w:lang w:val="en-US" w:eastAsia="zh-CN"/>
        </w:rPr>
        <w:t>成交供应商在供货验收时须提供以下产品的第三方检测报告供采购人查验，若验收不合格的采购人有权取消其成交资格。</w:t>
      </w:r>
    </w:p>
    <w:p w14:paraId="0B63F5F7">
      <w:pPr>
        <w:rPr>
          <w:rFonts w:hint="default"/>
          <w:lang w:val="en-US" w:eastAsia="zh-CN"/>
        </w:rPr>
      </w:pPr>
    </w:p>
    <w:tbl>
      <w:tblPr>
        <w:tblStyle w:val="5"/>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9"/>
        <w:gridCol w:w="1545"/>
        <w:gridCol w:w="1642"/>
        <w:gridCol w:w="4319"/>
      </w:tblGrid>
      <w:tr w14:paraId="616B3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592" w:type="pct"/>
            <w:noWrap w:val="0"/>
            <w:vAlign w:val="center"/>
          </w:tcPr>
          <w:p w14:paraId="709A0651">
            <w:pPr>
              <w:pStyle w:val="2"/>
              <w:jc w:val="center"/>
              <w:rPr>
                <w:rStyle w:val="11"/>
                <w:rFonts w:hint="default" w:ascii="宋体" w:hAnsi="宋体" w:eastAsia="宋体" w:cs="宋体"/>
                <w:b/>
                <w:kern w:val="2"/>
                <w:sz w:val="24"/>
                <w:szCs w:val="24"/>
                <w:vertAlign w:val="baseline"/>
                <w:lang w:val="en-US" w:eastAsia="zh-CN" w:bidi="ar-SA"/>
              </w:rPr>
            </w:pPr>
            <w:r>
              <w:rPr>
                <w:rStyle w:val="11"/>
                <w:rFonts w:hint="eastAsia" w:ascii="宋体" w:hAnsi="宋体" w:eastAsia="宋体" w:cs="宋体"/>
                <w:b/>
                <w:kern w:val="2"/>
                <w:sz w:val="24"/>
                <w:szCs w:val="24"/>
                <w:vertAlign w:val="baseline"/>
                <w:lang w:val="en-US" w:eastAsia="zh-CN" w:bidi="ar-SA"/>
              </w:rPr>
              <w:t>序号</w:t>
            </w:r>
          </w:p>
        </w:tc>
        <w:tc>
          <w:tcPr>
            <w:tcW w:w="907" w:type="pct"/>
            <w:noWrap w:val="0"/>
            <w:vAlign w:val="center"/>
          </w:tcPr>
          <w:p w14:paraId="4FB264B3">
            <w:pPr>
              <w:pStyle w:val="2"/>
              <w:jc w:val="center"/>
              <w:rPr>
                <w:rFonts w:hint="eastAsia" w:ascii="宋体" w:hAnsi="宋体" w:eastAsia="宋体" w:cs="宋体"/>
                <w:b/>
                <w:kern w:val="2"/>
                <w:sz w:val="24"/>
                <w:szCs w:val="24"/>
                <w:vertAlign w:val="baseline"/>
                <w:lang w:val="en-US" w:eastAsia="zh-CN" w:bidi="ar-SA"/>
              </w:rPr>
            </w:pPr>
            <w:r>
              <w:rPr>
                <w:rStyle w:val="11"/>
                <w:rFonts w:hint="eastAsia" w:ascii="宋体" w:hAnsi="宋体" w:eastAsia="宋体" w:cs="宋体"/>
                <w:b/>
                <w:kern w:val="2"/>
                <w:sz w:val="24"/>
                <w:szCs w:val="24"/>
                <w:vertAlign w:val="baseline"/>
                <w:lang w:val="en-US" w:eastAsia="zh-CN" w:bidi="ar-SA"/>
              </w:rPr>
              <w:t>名称</w:t>
            </w:r>
          </w:p>
        </w:tc>
        <w:tc>
          <w:tcPr>
            <w:tcW w:w="964" w:type="pct"/>
            <w:noWrap w:val="0"/>
            <w:vAlign w:val="center"/>
          </w:tcPr>
          <w:p w14:paraId="386BE3CC">
            <w:pPr>
              <w:pStyle w:val="2"/>
              <w:jc w:val="center"/>
              <w:rPr>
                <w:rStyle w:val="11"/>
                <w:rFonts w:hint="eastAsia" w:ascii="宋体" w:hAnsi="宋体" w:eastAsia="宋体" w:cs="宋体"/>
                <w:b/>
                <w:kern w:val="2"/>
                <w:sz w:val="24"/>
                <w:szCs w:val="24"/>
                <w:vertAlign w:val="baseline"/>
                <w:lang w:val="en-US" w:eastAsia="zh-CN" w:bidi="ar-SA"/>
              </w:rPr>
            </w:pPr>
            <w:r>
              <w:rPr>
                <w:rStyle w:val="11"/>
                <w:rFonts w:hint="eastAsia" w:ascii="宋体" w:hAnsi="宋体" w:eastAsia="宋体" w:cs="宋体"/>
                <w:b/>
                <w:kern w:val="2"/>
                <w:sz w:val="24"/>
                <w:szCs w:val="24"/>
                <w:vertAlign w:val="baseline"/>
                <w:lang w:val="en-US" w:eastAsia="zh-CN" w:bidi="ar-SA"/>
              </w:rPr>
              <w:t>使用范围</w:t>
            </w:r>
          </w:p>
        </w:tc>
        <w:tc>
          <w:tcPr>
            <w:tcW w:w="2535" w:type="pct"/>
            <w:noWrap w:val="0"/>
            <w:vAlign w:val="center"/>
          </w:tcPr>
          <w:p w14:paraId="1D40D245">
            <w:pPr>
              <w:pStyle w:val="2"/>
              <w:jc w:val="center"/>
              <w:rPr>
                <w:rStyle w:val="11"/>
                <w:rFonts w:hint="eastAsia" w:ascii="宋体" w:hAnsi="宋体" w:eastAsia="宋体" w:cs="宋体"/>
                <w:b/>
                <w:kern w:val="2"/>
                <w:sz w:val="24"/>
                <w:szCs w:val="24"/>
                <w:vertAlign w:val="baseline"/>
                <w:lang w:val="en-US" w:eastAsia="zh-CN" w:bidi="ar-SA"/>
              </w:rPr>
            </w:pPr>
            <w:r>
              <w:rPr>
                <w:rStyle w:val="11"/>
                <w:rFonts w:hint="eastAsia" w:ascii="宋体" w:hAnsi="宋体" w:eastAsia="宋体" w:cs="宋体"/>
                <w:b/>
                <w:kern w:val="2"/>
                <w:sz w:val="24"/>
                <w:szCs w:val="24"/>
                <w:vertAlign w:val="baseline"/>
                <w:lang w:val="en-US" w:eastAsia="zh-CN" w:bidi="ar-SA"/>
              </w:rPr>
              <w:t>要求</w:t>
            </w:r>
          </w:p>
        </w:tc>
      </w:tr>
      <w:tr w14:paraId="0DDFD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trPr>
        <w:tc>
          <w:tcPr>
            <w:tcW w:w="592" w:type="pct"/>
            <w:noWrap w:val="0"/>
            <w:vAlign w:val="center"/>
          </w:tcPr>
          <w:p w14:paraId="134B0BB6">
            <w:pPr>
              <w:pStyle w:val="2"/>
              <w:jc w:val="center"/>
              <w:rPr>
                <w:rStyle w:val="11"/>
                <w:rFonts w:hint="default" w:ascii="宋体" w:hAnsi="宋体" w:eastAsia="宋体" w:cs="宋体"/>
                <w:b/>
                <w:kern w:val="2"/>
                <w:sz w:val="24"/>
                <w:szCs w:val="24"/>
                <w:vertAlign w:val="baseline"/>
                <w:lang w:val="en-US" w:eastAsia="zh-CN" w:bidi="ar-SA"/>
              </w:rPr>
            </w:pPr>
            <w:r>
              <w:rPr>
                <w:rStyle w:val="11"/>
                <w:rFonts w:hint="eastAsia" w:ascii="宋体" w:hAnsi="宋体" w:eastAsia="宋体" w:cs="宋体"/>
                <w:b/>
                <w:kern w:val="2"/>
                <w:sz w:val="24"/>
                <w:szCs w:val="24"/>
                <w:vertAlign w:val="baseline"/>
                <w:lang w:val="en-US" w:eastAsia="zh-CN" w:bidi="ar-SA"/>
              </w:rPr>
              <w:t>1</w:t>
            </w:r>
          </w:p>
        </w:tc>
        <w:tc>
          <w:tcPr>
            <w:tcW w:w="907" w:type="pct"/>
            <w:noWrap w:val="0"/>
            <w:vAlign w:val="center"/>
          </w:tcPr>
          <w:p w14:paraId="38B72E22">
            <w:pPr>
              <w:pStyle w:val="2"/>
              <w:jc w:val="center"/>
              <w:rPr>
                <w:rFonts w:hint="eastAsia" w:ascii="宋体" w:hAnsi="宋体" w:eastAsia="宋体" w:cs="宋体"/>
                <w:b/>
                <w:kern w:val="2"/>
                <w:sz w:val="24"/>
                <w:szCs w:val="24"/>
                <w:vertAlign w:val="baseline"/>
                <w:lang w:val="en-US" w:eastAsia="zh-CN" w:bidi="ar-SA"/>
              </w:rPr>
            </w:pPr>
            <w:r>
              <w:rPr>
                <w:rStyle w:val="11"/>
                <w:rFonts w:hint="eastAsia" w:ascii="宋体" w:hAnsi="宋体" w:eastAsia="宋体" w:cs="宋体"/>
                <w:b/>
                <w:kern w:val="2"/>
                <w:sz w:val="24"/>
                <w:szCs w:val="24"/>
                <w:vertAlign w:val="baseline"/>
                <w:lang w:val="en-US" w:eastAsia="zh-CN" w:bidi="ar-SA"/>
              </w:rPr>
              <w:t>布帘</w:t>
            </w:r>
          </w:p>
        </w:tc>
        <w:tc>
          <w:tcPr>
            <w:tcW w:w="964" w:type="pct"/>
            <w:noWrap w:val="0"/>
            <w:vAlign w:val="center"/>
          </w:tcPr>
          <w:p w14:paraId="64AFBD56">
            <w:pPr>
              <w:pStyle w:val="2"/>
              <w:jc w:val="center"/>
              <w:rPr>
                <w:rStyle w:val="11"/>
                <w:rFonts w:hint="eastAsia" w:ascii="宋体" w:hAnsi="宋体" w:eastAsia="宋体" w:cs="宋体"/>
                <w:b/>
                <w:kern w:val="2"/>
                <w:sz w:val="24"/>
                <w:szCs w:val="24"/>
                <w:vertAlign w:val="baseline"/>
                <w:lang w:val="en-US" w:eastAsia="zh-CN" w:bidi="ar-SA"/>
              </w:rPr>
            </w:pPr>
            <w:r>
              <w:rPr>
                <w:rStyle w:val="11"/>
                <w:rFonts w:hint="eastAsia" w:ascii="宋体" w:hAnsi="宋体" w:eastAsia="宋体" w:cs="宋体"/>
                <w:b/>
                <w:kern w:val="2"/>
                <w:sz w:val="24"/>
                <w:szCs w:val="24"/>
                <w:vertAlign w:val="baseline"/>
                <w:lang w:val="en-US" w:eastAsia="zh-CN" w:bidi="ar-SA"/>
              </w:rPr>
              <w:t>办公室</w:t>
            </w:r>
          </w:p>
        </w:tc>
        <w:tc>
          <w:tcPr>
            <w:tcW w:w="2535" w:type="pct"/>
            <w:noWrap w:val="0"/>
            <w:vAlign w:val="center"/>
          </w:tcPr>
          <w:p w14:paraId="20675EB8">
            <w:pPr>
              <w:pStyle w:val="2"/>
              <w:jc w:val="center"/>
              <w:rPr>
                <w:rStyle w:val="11"/>
                <w:rFonts w:hint="eastAsia" w:ascii="宋体" w:hAnsi="宋体" w:eastAsia="宋体" w:cs="宋体"/>
                <w:b/>
                <w:kern w:val="2"/>
                <w:sz w:val="24"/>
                <w:szCs w:val="24"/>
                <w:vertAlign w:val="baseline"/>
                <w:lang w:val="en-US" w:eastAsia="zh-CN" w:bidi="ar-SA"/>
              </w:rPr>
            </w:pPr>
            <w:r>
              <w:rPr>
                <w:rFonts w:hint="eastAsia" w:ascii="宋体" w:hAnsi="宋体" w:cs="宋体"/>
                <w:b w:val="0"/>
                <w:bCs w:val="0"/>
                <w:spacing w:val="-3"/>
                <w:sz w:val="24"/>
                <w:szCs w:val="24"/>
                <w:lang w:eastAsia="zh-CN"/>
              </w:rPr>
              <w:t xml:space="preserve">阻燃要求符合国家公共场所纺织物消防等级 </w:t>
            </w:r>
            <w:r>
              <w:rPr>
                <w:rFonts w:hint="eastAsia" w:ascii="宋体" w:hAnsi="宋体" w:cs="宋体"/>
                <w:b w:val="0"/>
                <w:bCs w:val="0"/>
                <w:sz w:val="24"/>
                <w:szCs w:val="24"/>
                <w:lang w:eastAsia="zh-CN"/>
              </w:rPr>
              <w:t>B1</w:t>
            </w:r>
            <w:r>
              <w:rPr>
                <w:rFonts w:hint="eastAsia" w:ascii="宋体" w:hAnsi="宋体" w:cs="宋体"/>
                <w:b w:val="0"/>
                <w:bCs w:val="0"/>
                <w:spacing w:val="-13"/>
                <w:sz w:val="24"/>
                <w:szCs w:val="24"/>
                <w:lang w:eastAsia="zh-CN"/>
              </w:rPr>
              <w:t xml:space="preserve"> 级永久阻燃。</w:t>
            </w:r>
          </w:p>
        </w:tc>
      </w:tr>
    </w:tbl>
    <w:p w14:paraId="5EAF39EE">
      <w:pPr>
        <w:spacing w:line="360" w:lineRule="auto"/>
        <w:ind w:firstLine="480" w:firstLineChars="200"/>
        <w:rPr>
          <w:rFonts w:hint="eastAsia" w:ascii="宋体" w:hAnsi="宋体" w:eastAsia="宋体" w:cs="Times New Roman"/>
          <w:sz w:val="24"/>
        </w:rPr>
      </w:pPr>
    </w:p>
    <w:p w14:paraId="027EB5E8">
      <w:pPr>
        <w:numPr>
          <w:ilvl w:val="0"/>
          <w:numId w:val="0"/>
        </w:numPr>
        <w:spacing w:line="420" w:lineRule="exact"/>
        <w:rPr>
          <w:rFonts w:hint="eastAsia" w:ascii="Times New Roman" w:hAnsi="Times New Roman" w:eastAsia="宋体" w:cs="Times New Roman"/>
          <w:b/>
          <w:bCs/>
          <w:color w:val="FF0000"/>
          <w:sz w:val="28"/>
          <w:szCs w:val="28"/>
          <w:highlight w:val="yellow"/>
          <w:lang w:val="en-US" w:eastAsia="zh-CN"/>
        </w:rPr>
      </w:pPr>
      <w:r>
        <w:rPr>
          <w:rFonts w:hint="eastAsia" w:ascii="Times New Roman" w:hAnsi="Times New Roman" w:eastAsia="宋体" w:cs="Times New Roman"/>
          <w:b/>
          <w:bCs/>
          <w:color w:val="FF0000"/>
          <w:sz w:val="28"/>
          <w:szCs w:val="28"/>
          <w:highlight w:val="yellow"/>
          <w:lang w:val="en-US" w:eastAsia="zh-CN"/>
        </w:rPr>
        <w:t>供应商在响应文件提交截止时间前向招标办提交以下样品，未按比选文件要求提供相关样品或样品提供不全，则视为符合性审查不通过：</w:t>
      </w:r>
    </w:p>
    <w:p w14:paraId="5876BB7C">
      <w:pPr>
        <w:numPr>
          <w:ilvl w:val="0"/>
          <w:numId w:val="1"/>
        </w:numPr>
        <w:spacing w:line="420" w:lineRule="exact"/>
        <w:rPr>
          <w:rFonts w:hint="eastAsia"/>
          <w:b/>
          <w:bCs/>
          <w:color w:val="FF0000"/>
          <w:sz w:val="28"/>
          <w:szCs w:val="28"/>
          <w:highlight w:val="yellow"/>
          <w:lang w:val="en-US" w:eastAsia="zh-CN"/>
        </w:rPr>
      </w:pPr>
      <w:r>
        <w:rPr>
          <w:rFonts w:hint="eastAsia"/>
          <w:b/>
          <w:bCs/>
          <w:color w:val="FF0000"/>
          <w:sz w:val="28"/>
          <w:szCs w:val="28"/>
          <w:highlight w:val="yellow"/>
          <w:lang w:val="en-US" w:eastAsia="zh-CN"/>
        </w:rPr>
        <w:t>窗帘样品一块（约15*15cm）；</w:t>
      </w:r>
    </w:p>
    <w:p w14:paraId="4FF115CD">
      <w:pPr>
        <w:numPr>
          <w:ilvl w:val="0"/>
          <w:numId w:val="1"/>
        </w:numPr>
        <w:spacing w:line="420" w:lineRule="exact"/>
        <w:rPr>
          <w:rFonts w:hint="default" w:ascii="Times New Roman" w:hAnsi="Times New Roman" w:eastAsia="宋体" w:cs="Times New Roman"/>
          <w:b/>
          <w:bCs/>
          <w:color w:val="FF0000"/>
          <w:sz w:val="28"/>
          <w:szCs w:val="28"/>
          <w:highlight w:val="yellow"/>
          <w:vertAlign w:val="baseline"/>
          <w:lang w:val="en-US" w:eastAsia="zh-CN"/>
        </w:rPr>
      </w:pPr>
      <w:r>
        <w:rPr>
          <w:rFonts w:hint="eastAsia"/>
          <w:b/>
          <w:bCs/>
          <w:color w:val="FF0000"/>
          <w:sz w:val="28"/>
          <w:szCs w:val="28"/>
          <w:highlight w:val="yellow"/>
          <w:vertAlign w:val="baseline"/>
          <w:lang w:val="en-US" w:eastAsia="zh-CN"/>
        </w:rPr>
        <w:t>木质</w:t>
      </w:r>
      <w:r>
        <w:rPr>
          <w:rFonts w:hint="default"/>
          <w:b/>
          <w:bCs/>
          <w:color w:val="FF0000"/>
          <w:sz w:val="28"/>
          <w:szCs w:val="28"/>
          <w:highlight w:val="yellow"/>
          <w:vertAlign w:val="baseline"/>
          <w:lang w:val="en-US" w:eastAsia="zh-CN"/>
        </w:rPr>
        <w:t>床板</w:t>
      </w:r>
      <w:r>
        <w:rPr>
          <w:rFonts w:hint="eastAsia"/>
          <w:b/>
          <w:bCs/>
          <w:color w:val="FF0000"/>
          <w:sz w:val="28"/>
          <w:szCs w:val="28"/>
          <w:highlight w:val="yellow"/>
          <w:vertAlign w:val="baseline"/>
          <w:lang w:val="en-US" w:eastAsia="zh-CN"/>
        </w:rPr>
        <w:t>样品一块（长度约10cm,厚度</w:t>
      </w:r>
      <w:r>
        <w:rPr>
          <w:rFonts w:hint="eastAsia" w:ascii="宋体" w:hAnsi="宋体" w:eastAsia="宋体" w:cs="宋体"/>
          <w:b/>
          <w:bCs/>
          <w:color w:val="FF0000"/>
          <w:sz w:val="28"/>
          <w:szCs w:val="28"/>
          <w:highlight w:val="yellow"/>
          <w:vertAlign w:val="baseline"/>
          <w:lang w:val="en-US" w:eastAsia="zh-CN"/>
        </w:rPr>
        <w:t>≧</w:t>
      </w:r>
      <w:r>
        <w:rPr>
          <w:rFonts w:hint="eastAsia"/>
          <w:b/>
          <w:bCs/>
          <w:color w:val="FF0000"/>
          <w:sz w:val="28"/>
          <w:szCs w:val="28"/>
          <w:highlight w:val="yellow"/>
          <w:vertAlign w:val="baseline"/>
          <w:lang w:val="en-US" w:eastAsia="zh-CN"/>
        </w:rPr>
        <w:t>15mm</w:t>
      </w:r>
      <w:r>
        <w:rPr>
          <w:rFonts w:hint="eastAsia"/>
          <w:b/>
          <w:bCs/>
          <w:color w:val="FF0000"/>
          <w:highlight w:val="yellow"/>
          <w:vertAlign w:val="baseline"/>
          <w:lang w:val="en-US" w:eastAsia="zh-CN"/>
        </w:rPr>
        <w:t>）</w:t>
      </w:r>
      <w:r>
        <w:rPr>
          <w:rFonts w:hint="eastAsia" w:ascii="Times New Roman" w:hAnsi="Times New Roman" w:eastAsia="宋体" w:cs="Times New Roman"/>
          <w:b/>
          <w:bCs/>
          <w:color w:val="FF0000"/>
          <w:sz w:val="28"/>
          <w:szCs w:val="28"/>
          <w:highlight w:val="yellow"/>
          <w:vertAlign w:val="baseline"/>
          <w:lang w:val="en-US" w:eastAsia="zh-CN"/>
        </w:rPr>
        <w:t>+固定高低床五金配件（自行提供）</w:t>
      </w:r>
    </w:p>
    <w:p w14:paraId="5DFEEAC3">
      <w:pPr>
        <w:jc w:val="both"/>
        <w:rPr>
          <w:rFonts w:hint="default" w:ascii="Times New Roman" w:hAnsi="Times New Roman" w:eastAsia="宋体" w:cs="Times New Roman"/>
          <w:b/>
          <w:bCs/>
          <w:color w:val="FF0000"/>
          <w:sz w:val="28"/>
          <w:szCs w:val="28"/>
          <w:highlight w:val="yellow"/>
          <w:lang w:val="en-US" w:eastAsia="zh-CN"/>
        </w:rPr>
      </w:pPr>
      <w:r>
        <w:rPr>
          <w:rFonts w:hint="eastAsia" w:ascii="Times New Roman" w:hAnsi="Times New Roman" w:eastAsia="宋体" w:cs="Times New Roman"/>
          <w:b/>
          <w:bCs/>
          <w:color w:val="FF0000"/>
          <w:sz w:val="28"/>
          <w:szCs w:val="28"/>
          <w:highlight w:val="yellow"/>
          <w:lang w:val="en-US" w:eastAsia="zh-CN"/>
        </w:rPr>
        <w:t>3、</w:t>
      </w:r>
      <w:r>
        <w:rPr>
          <w:rFonts w:hint="default" w:ascii="Times New Roman" w:hAnsi="Times New Roman" w:eastAsia="宋体" w:cs="Times New Roman"/>
          <w:b/>
          <w:bCs/>
          <w:color w:val="FF0000"/>
          <w:sz w:val="28"/>
          <w:szCs w:val="28"/>
          <w:highlight w:val="yellow"/>
          <w:lang w:val="en-US" w:eastAsia="zh-CN"/>
        </w:rPr>
        <w:t>床垫样品</w:t>
      </w:r>
      <w:r>
        <w:rPr>
          <w:rFonts w:hint="eastAsia" w:ascii="Times New Roman" w:hAnsi="Times New Roman" w:eastAsia="宋体" w:cs="Times New Roman"/>
          <w:b/>
          <w:bCs/>
          <w:color w:val="FF0000"/>
          <w:sz w:val="28"/>
          <w:szCs w:val="28"/>
          <w:highlight w:val="yellow"/>
          <w:lang w:val="en-US" w:eastAsia="zh-CN"/>
        </w:rPr>
        <w:t>一</w:t>
      </w:r>
      <w:r>
        <w:rPr>
          <w:rFonts w:hint="default" w:ascii="Times New Roman" w:hAnsi="Times New Roman" w:eastAsia="宋体" w:cs="Times New Roman"/>
          <w:b/>
          <w:bCs/>
          <w:color w:val="FF0000"/>
          <w:sz w:val="28"/>
          <w:szCs w:val="28"/>
          <w:highlight w:val="yellow"/>
          <w:lang w:val="en-US" w:eastAsia="zh-CN"/>
        </w:rPr>
        <w:t>个（90</w:t>
      </w:r>
      <w:r>
        <w:rPr>
          <w:rFonts w:hint="eastAsia" w:ascii="Times New Roman" w:hAnsi="Times New Roman" w:eastAsia="宋体" w:cs="Times New Roman"/>
          <w:b/>
          <w:bCs/>
          <w:color w:val="FF0000"/>
          <w:sz w:val="28"/>
          <w:szCs w:val="28"/>
          <w:highlight w:val="yellow"/>
          <w:lang w:val="en-US" w:eastAsia="zh-CN"/>
        </w:rPr>
        <w:t>*</w:t>
      </w:r>
      <w:r>
        <w:rPr>
          <w:rFonts w:hint="default" w:ascii="Times New Roman" w:hAnsi="Times New Roman" w:eastAsia="宋体" w:cs="Times New Roman"/>
          <w:b/>
          <w:bCs/>
          <w:color w:val="FF0000"/>
          <w:sz w:val="28"/>
          <w:szCs w:val="28"/>
          <w:highlight w:val="yellow"/>
          <w:lang w:val="en-US" w:eastAsia="zh-CN"/>
        </w:rPr>
        <w:t>190</w:t>
      </w:r>
      <w:r>
        <w:rPr>
          <w:rFonts w:hint="eastAsia" w:ascii="Times New Roman" w:hAnsi="Times New Roman" w:eastAsia="宋体" w:cs="Times New Roman"/>
          <w:b/>
          <w:bCs/>
          <w:color w:val="FF0000"/>
          <w:sz w:val="28"/>
          <w:szCs w:val="28"/>
          <w:highlight w:val="yellow"/>
          <w:lang w:val="en-US" w:eastAsia="zh-CN"/>
        </w:rPr>
        <w:t>*</w:t>
      </w:r>
      <w:r>
        <w:rPr>
          <w:rFonts w:hint="default" w:ascii="Times New Roman" w:hAnsi="Times New Roman" w:eastAsia="宋体" w:cs="Times New Roman"/>
          <w:b/>
          <w:bCs/>
          <w:color w:val="FF0000"/>
          <w:sz w:val="28"/>
          <w:szCs w:val="28"/>
          <w:highlight w:val="yellow"/>
          <w:lang w:val="en-US" w:eastAsia="zh-CN"/>
        </w:rPr>
        <w:t>8cm）</w:t>
      </w:r>
    </w:p>
    <w:p w14:paraId="1A54F734">
      <w:pPr>
        <w:jc w:val="center"/>
        <w:rPr>
          <w:rStyle w:val="7"/>
          <w:rFonts w:hint="eastAsia"/>
          <w:sz w:val="30"/>
          <w:szCs w:val="30"/>
          <w:lang w:val="en-US" w:eastAsia="zh-CN"/>
        </w:rPr>
      </w:pPr>
      <w:r>
        <w:rPr>
          <w:rStyle w:val="7"/>
          <w:rFonts w:hint="eastAsia"/>
          <w:sz w:val="30"/>
          <w:szCs w:val="30"/>
          <w:lang w:val="en-US" w:eastAsia="zh-CN"/>
        </w:rPr>
        <w:t>（二）商务要求</w:t>
      </w:r>
    </w:p>
    <w:bookmarkEnd w:id="0"/>
    <w:p w14:paraId="05AAB454">
      <w:pPr>
        <w:pStyle w:val="12"/>
        <w:ind w:firstLine="560"/>
        <w:rPr>
          <w:rFonts w:hint="eastAsia" w:ascii="宋体" w:hAnsi="宋体" w:eastAsia="宋体" w:cs="宋体"/>
          <w:sz w:val="28"/>
          <w:szCs w:val="28"/>
        </w:rPr>
      </w:pPr>
      <w:r>
        <w:rPr>
          <w:rFonts w:hint="eastAsia" w:ascii="宋体" w:hAnsi="宋体" w:eastAsia="宋体" w:cs="宋体"/>
          <w:sz w:val="28"/>
          <w:szCs w:val="28"/>
        </w:rPr>
        <w:t>1、交付时间</w:t>
      </w:r>
    </w:p>
    <w:p w14:paraId="59817112">
      <w:pPr>
        <w:pStyle w:val="12"/>
        <w:ind w:firstLine="560"/>
        <w:rPr>
          <w:rFonts w:hint="eastAsia" w:ascii="宋体" w:hAnsi="宋体" w:eastAsia="宋体" w:cs="宋体"/>
          <w:b/>
          <w:bCs/>
          <w:sz w:val="28"/>
          <w:szCs w:val="28"/>
        </w:rPr>
      </w:pPr>
      <w:r>
        <w:rPr>
          <w:rFonts w:hint="eastAsia" w:ascii="宋体" w:hAnsi="宋体" w:eastAsia="宋体" w:cs="宋体"/>
          <w:b/>
          <w:bCs/>
          <w:sz w:val="28"/>
          <w:szCs w:val="28"/>
        </w:rPr>
        <w:t>在合同签订并生效后</w:t>
      </w:r>
      <w:r>
        <w:rPr>
          <w:rFonts w:hint="eastAsia" w:ascii="宋体" w:hAnsi="宋体" w:eastAsia="宋体" w:cs="宋体"/>
          <w:b/>
          <w:bCs/>
          <w:sz w:val="28"/>
          <w:szCs w:val="28"/>
          <w:lang w:val="en-US" w:eastAsia="zh-CN"/>
        </w:rPr>
        <w:t>15</w:t>
      </w:r>
      <w:r>
        <w:rPr>
          <w:rFonts w:hint="eastAsia" w:ascii="宋体" w:hAnsi="宋体" w:eastAsia="宋体" w:cs="宋体"/>
          <w:b/>
          <w:bCs/>
          <w:sz w:val="28"/>
          <w:szCs w:val="28"/>
        </w:rPr>
        <w:t>天内完成供货、安装、摆放</w:t>
      </w:r>
      <w:r>
        <w:rPr>
          <w:rFonts w:hint="eastAsia" w:ascii="宋体" w:hAnsi="宋体" w:eastAsia="宋体" w:cs="宋体"/>
          <w:b/>
          <w:bCs/>
          <w:sz w:val="28"/>
          <w:szCs w:val="28"/>
          <w:lang w:val="en-US" w:eastAsia="zh-CN"/>
        </w:rPr>
        <w:t>完毕</w:t>
      </w:r>
      <w:r>
        <w:rPr>
          <w:rFonts w:hint="eastAsia" w:ascii="宋体" w:hAnsi="宋体" w:eastAsia="宋体" w:cs="宋体"/>
          <w:b/>
          <w:bCs/>
          <w:sz w:val="28"/>
          <w:szCs w:val="28"/>
        </w:rPr>
        <w:t>。</w:t>
      </w:r>
    </w:p>
    <w:p w14:paraId="23C598F3">
      <w:pPr>
        <w:pStyle w:val="12"/>
        <w:ind w:firstLine="560"/>
        <w:rPr>
          <w:rFonts w:hint="eastAsia" w:ascii="宋体" w:hAnsi="宋体" w:eastAsia="宋体" w:cs="宋体"/>
          <w:sz w:val="28"/>
          <w:szCs w:val="28"/>
        </w:rPr>
      </w:pPr>
      <w:r>
        <w:rPr>
          <w:rFonts w:hint="eastAsia" w:ascii="宋体" w:hAnsi="宋体" w:eastAsia="宋体" w:cs="宋体"/>
          <w:sz w:val="28"/>
          <w:szCs w:val="28"/>
        </w:rPr>
        <w:t>2、交付地点</w:t>
      </w:r>
    </w:p>
    <w:p w14:paraId="7A726713">
      <w:pPr>
        <w:pStyle w:val="12"/>
        <w:ind w:firstLine="560"/>
        <w:rPr>
          <w:rFonts w:hint="eastAsia" w:ascii="宋体" w:hAnsi="宋体" w:eastAsia="宋体" w:cs="宋体"/>
          <w:sz w:val="28"/>
          <w:szCs w:val="28"/>
          <w:lang w:eastAsia="zh-CN"/>
        </w:rPr>
      </w:pPr>
      <w:r>
        <w:rPr>
          <w:rFonts w:hint="eastAsia" w:ascii="宋体" w:hAnsi="宋体" w:eastAsia="宋体" w:cs="宋体"/>
          <w:sz w:val="28"/>
          <w:szCs w:val="28"/>
        </w:rPr>
        <w:t>地点：</w:t>
      </w:r>
      <w:r>
        <w:rPr>
          <w:rFonts w:hint="eastAsia" w:ascii="宋体" w:hAnsi="宋体" w:eastAsia="宋体" w:cs="宋体"/>
          <w:sz w:val="28"/>
          <w:szCs w:val="28"/>
          <w:lang w:val="en-US" w:eastAsia="zh-CN"/>
        </w:rPr>
        <w:t>采购人</w:t>
      </w:r>
      <w:r>
        <w:rPr>
          <w:rFonts w:hint="eastAsia" w:ascii="宋体" w:hAnsi="宋体" w:eastAsia="宋体" w:cs="宋体"/>
          <w:sz w:val="28"/>
          <w:szCs w:val="28"/>
          <w:lang w:eastAsia="zh-CN"/>
        </w:rPr>
        <w:t>指定地点</w:t>
      </w:r>
    </w:p>
    <w:p w14:paraId="4B3D70B2">
      <w:pPr>
        <w:pStyle w:val="12"/>
        <w:ind w:firstLine="560"/>
        <w:rPr>
          <w:rFonts w:hint="eastAsia" w:ascii="宋体" w:hAnsi="宋体" w:eastAsia="宋体" w:cs="宋体"/>
          <w:sz w:val="28"/>
          <w:szCs w:val="28"/>
        </w:rPr>
      </w:pPr>
      <w:r>
        <w:rPr>
          <w:rFonts w:hint="eastAsia" w:ascii="宋体" w:hAnsi="宋体" w:eastAsia="宋体" w:cs="宋体"/>
          <w:sz w:val="28"/>
          <w:szCs w:val="28"/>
        </w:rPr>
        <w:t>3、成交供应商提供的所有货物须为全新的、未使用过的原装正品。提交货物的技术参数和配置应与比选文件中的要求及其响应文件中的技术响应表（如果被评审小组接受的话）相一致。若比选文件及</w:t>
      </w:r>
      <w:r>
        <w:rPr>
          <w:rFonts w:hint="eastAsia" w:ascii="宋体" w:hAnsi="宋体" w:eastAsia="宋体" w:cs="宋体"/>
          <w:sz w:val="28"/>
          <w:szCs w:val="28"/>
          <w:lang w:eastAsia="zh-CN"/>
        </w:rPr>
        <w:t>响应文件</w:t>
      </w:r>
      <w:r>
        <w:rPr>
          <w:rFonts w:hint="eastAsia" w:ascii="宋体" w:hAnsi="宋体" w:eastAsia="宋体" w:cs="宋体"/>
          <w:sz w:val="28"/>
          <w:szCs w:val="28"/>
        </w:rPr>
        <w:t>中无相应说明，则以国家有关部门最新颁布的相应标准及规范为准。</w:t>
      </w:r>
    </w:p>
    <w:p w14:paraId="34ACA03E">
      <w:pPr>
        <w:pStyle w:val="12"/>
        <w:ind w:firstLine="560"/>
        <w:rPr>
          <w:rFonts w:hint="eastAsia" w:ascii="宋体" w:hAnsi="宋体" w:eastAsia="宋体" w:cs="宋体"/>
          <w:sz w:val="28"/>
          <w:szCs w:val="28"/>
        </w:rPr>
      </w:pPr>
      <w:r>
        <w:rPr>
          <w:rFonts w:hint="eastAsia" w:ascii="宋体" w:hAnsi="宋体" w:eastAsia="宋体" w:cs="宋体"/>
          <w:sz w:val="28"/>
          <w:szCs w:val="28"/>
        </w:rPr>
        <w:t>4、采购人和相关部门按照比选文件和响应文件承诺进行验收。比选文件没有规定和响应文件没有相应承诺的，按照下列原则进行验收：有国家标准的按照国家标准验收，没有国家标准的按行业标准验收，无行业标准的按地方或企业标准验收，成交供应商予以配合。涉及安全、消防、环保等需要由质检或行业主管部门验收的项目，采购人须约请相关部门和专家参加项目验收。所有需要质检部门进行检测才能使用的货物，报价中必须包含首次检测费用。</w:t>
      </w:r>
    </w:p>
    <w:p w14:paraId="6A4B76B1">
      <w:pPr>
        <w:pStyle w:val="12"/>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5、所有货物必须符合国家相关强制性要求。</w:t>
      </w:r>
    </w:p>
    <w:p w14:paraId="6006AF0D">
      <w:pPr>
        <w:spacing w:line="360" w:lineRule="auto"/>
        <w:rPr>
          <w:rFonts w:hint="eastAsia" w:ascii="宋体" w:hAnsi="宋体" w:eastAsia="宋体" w:cs="宋体"/>
          <w:sz w:val="28"/>
          <w:szCs w:val="28"/>
        </w:rPr>
      </w:pPr>
      <w:r>
        <w:rPr>
          <w:rFonts w:hint="eastAsia" w:ascii="宋体" w:hAnsi="宋体" w:eastAsia="宋体" w:cs="宋体"/>
          <w:sz w:val="28"/>
          <w:szCs w:val="28"/>
        </w:rPr>
        <w:t>6、付款</w:t>
      </w:r>
      <w:r>
        <w:rPr>
          <w:rFonts w:hint="eastAsia" w:ascii="宋体" w:hAnsi="宋体" w:eastAsia="宋体" w:cs="宋体"/>
          <w:sz w:val="28"/>
          <w:szCs w:val="28"/>
          <w:lang w:val="en-US" w:eastAsia="zh-CN"/>
        </w:rPr>
        <w:t>方式：</w:t>
      </w:r>
      <w:r>
        <w:rPr>
          <w:rFonts w:hint="eastAsia" w:ascii="宋体" w:hAnsi="宋体" w:eastAsia="宋体" w:cs="宋体"/>
          <w:kern w:val="2"/>
          <w:sz w:val="28"/>
          <w:szCs w:val="28"/>
          <w:lang w:val="en-US" w:eastAsia="zh-CN" w:bidi="ar-SA"/>
        </w:rPr>
        <w:t>采购人自货物验收合格之日起，采购人在90个工作日内支付合同全部货款。</w:t>
      </w:r>
    </w:p>
    <w:p w14:paraId="7590F0A1">
      <w:pPr>
        <w:pStyle w:val="12"/>
        <w:ind w:left="0" w:leftChars="0" w:firstLine="0" w:firstLineChars="0"/>
        <w:rPr>
          <w:rFonts w:hint="eastAsia" w:ascii="宋体" w:hAnsi="宋体" w:eastAsia="宋体" w:cs="宋体"/>
          <w:sz w:val="28"/>
          <w:szCs w:val="28"/>
        </w:rPr>
      </w:pPr>
      <w:r>
        <w:rPr>
          <w:rFonts w:hint="eastAsia" w:ascii="宋体" w:hAnsi="宋体" w:eastAsia="宋体" w:cs="宋体"/>
          <w:sz w:val="28"/>
          <w:szCs w:val="28"/>
        </w:rPr>
        <w:t>7、售后服务要求</w:t>
      </w:r>
    </w:p>
    <w:p w14:paraId="0FDD7573">
      <w:pPr>
        <w:pStyle w:val="12"/>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val="en-US" w:eastAsia="zh-CN"/>
        </w:rPr>
        <w:t>成交</w:t>
      </w:r>
      <w:r>
        <w:rPr>
          <w:rFonts w:hint="eastAsia" w:ascii="宋体" w:hAnsi="宋体" w:eastAsia="宋体" w:cs="宋体"/>
          <w:sz w:val="28"/>
          <w:szCs w:val="28"/>
        </w:rPr>
        <w:t>供应商提供的售后服务标准应不低于同型号产品的市场服务标准。</w:t>
      </w:r>
    </w:p>
    <w:p w14:paraId="6A49ACD9">
      <w:pPr>
        <w:pStyle w:val="12"/>
        <w:ind w:firstLine="560"/>
        <w:rPr>
          <w:rFonts w:hint="eastAsia" w:ascii="宋体" w:hAnsi="宋体" w:eastAsia="宋体" w:cs="宋体"/>
          <w:b/>
          <w:bCs/>
          <w:sz w:val="28"/>
          <w:szCs w:val="28"/>
        </w:rPr>
      </w:pPr>
      <w:r>
        <w:rPr>
          <w:rFonts w:hint="eastAsia" w:ascii="宋体" w:hAnsi="宋体" w:eastAsia="宋体" w:cs="宋体"/>
          <w:b/>
          <w:bCs/>
          <w:sz w:val="28"/>
          <w:szCs w:val="28"/>
        </w:rPr>
        <w:t>（2）自验收合格之日起，应提供至少</w:t>
      </w:r>
      <w:r>
        <w:rPr>
          <w:rFonts w:hint="eastAsia" w:ascii="宋体" w:hAnsi="宋体" w:eastAsia="宋体" w:cs="宋体"/>
          <w:b/>
          <w:bCs/>
          <w:sz w:val="28"/>
          <w:szCs w:val="28"/>
          <w:lang w:val="en-US" w:eastAsia="zh-CN"/>
        </w:rPr>
        <w:t>3</w:t>
      </w:r>
      <w:r>
        <w:rPr>
          <w:rFonts w:hint="eastAsia" w:ascii="宋体" w:hAnsi="宋体" w:eastAsia="宋体" w:cs="宋体"/>
          <w:b/>
          <w:bCs/>
          <w:sz w:val="28"/>
          <w:szCs w:val="28"/>
        </w:rPr>
        <w:t>年质量保证期。</w:t>
      </w:r>
    </w:p>
    <w:p w14:paraId="3DD44CBB">
      <w:pPr>
        <w:pStyle w:val="12"/>
        <w:ind w:firstLine="560"/>
        <w:rPr>
          <w:rFonts w:hint="eastAsia" w:ascii="宋体" w:hAnsi="宋体" w:eastAsia="宋体" w:cs="宋体"/>
          <w:sz w:val="28"/>
          <w:szCs w:val="28"/>
        </w:rPr>
      </w:pPr>
      <w:r>
        <w:rPr>
          <w:rFonts w:hint="eastAsia" w:ascii="宋体" w:hAnsi="宋体" w:eastAsia="宋体" w:cs="宋体"/>
          <w:sz w:val="28"/>
          <w:szCs w:val="28"/>
        </w:rPr>
        <w:t>（3）在质量保证期内，确因产品质量问题产生的设备更换、备件、耗材、人工等费用均由</w:t>
      </w:r>
      <w:r>
        <w:rPr>
          <w:rFonts w:hint="eastAsia" w:ascii="宋体" w:hAnsi="宋体" w:eastAsia="宋体" w:cs="宋体"/>
          <w:sz w:val="28"/>
          <w:szCs w:val="28"/>
          <w:lang w:val="en-US" w:eastAsia="zh-CN"/>
        </w:rPr>
        <w:t>成交</w:t>
      </w:r>
      <w:r>
        <w:rPr>
          <w:rFonts w:hint="eastAsia" w:ascii="宋体" w:hAnsi="宋体" w:eastAsia="宋体" w:cs="宋体"/>
          <w:sz w:val="28"/>
          <w:szCs w:val="28"/>
        </w:rPr>
        <w:t>供应商承担，因人为因素出现的故障不在免费保修范围。</w:t>
      </w:r>
    </w:p>
    <w:p w14:paraId="3BD62023">
      <w:pPr>
        <w:pStyle w:val="12"/>
        <w:ind w:firstLine="560"/>
        <w:rPr>
          <w:rFonts w:hint="eastAsia" w:ascii="宋体" w:hAnsi="宋体" w:eastAsia="宋体" w:cs="宋体"/>
          <w:sz w:val="28"/>
          <w:szCs w:val="28"/>
        </w:rPr>
      </w:pPr>
      <w:r>
        <w:rPr>
          <w:rFonts w:hint="eastAsia" w:ascii="宋体" w:hAnsi="宋体" w:eastAsia="宋体" w:cs="宋体"/>
          <w:sz w:val="28"/>
          <w:szCs w:val="28"/>
        </w:rPr>
        <w:t>（4）在质保期内，</w:t>
      </w:r>
      <w:r>
        <w:rPr>
          <w:rFonts w:hint="eastAsia" w:ascii="宋体" w:hAnsi="宋体" w:eastAsia="宋体" w:cs="宋体"/>
          <w:sz w:val="28"/>
          <w:szCs w:val="28"/>
          <w:lang w:eastAsia="zh-CN"/>
        </w:rPr>
        <w:t>成交供应商</w:t>
      </w:r>
      <w:r>
        <w:rPr>
          <w:rFonts w:hint="eastAsia" w:ascii="宋体" w:hAnsi="宋体" w:eastAsia="宋体" w:cs="宋体"/>
          <w:sz w:val="28"/>
          <w:szCs w:val="28"/>
        </w:rPr>
        <w:t>应以优良的服务态度，一旦发生质量问题，</w:t>
      </w:r>
      <w:r>
        <w:rPr>
          <w:rFonts w:hint="eastAsia" w:ascii="宋体" w:hAnsi="宋体" w:eastAsia="宋体" w:cs="宋体"/>
          <w:sz w:val="28"/>
          <w:szCs w:val="28"/>
          <w:lang w:eastAsia="zh-CN"/>
        </w:rPr>
        <w:t>成交供应商</w:t>
      </w:r>
      <w:r>
        <w:rPr>
          <w:rFonts w:hint="eastAsia" w:ascii="宋体" w:hAnsi="宋体" w:eastAsia="宋体" w:cs="宋体"/>
          <w:sz w:val="28"/>
          <w:szCs w:val="28"/>
        </w:rPr>
        <w:t>应在</w:t>
      </w:r>
      <w:r>
        <w:rPr>
          <w:rFonts w:hint="eastAsia" w:ascii="宋体" w:hAnsi="宋体" w:eastAsia="宋体" w:cs="宋体"/>
          <w:sz w:val="28"/>
          <w:szCs w:val="28"/>
          <w:lang w:val="en-US" w:eastAsia="zh-CN"/>
        </w:rPr>
        <w:t>1</w:t>
      </w:r>
      <w:r>
        <w:rPr>
          <w:rFonts w:hint="eastAsia" w:ascii="宋体" w:hAnsi="宋体" w:eastAsia="宋体" w:cs="宋体"/>
          <w:sz w:val="28"/>
          <w:szCs w:val="28"/>
        </w:rPr>
        <w:t>小时内响应，</w:t>
      </w:r>
      <w:r>
        <w:rPr>
          <w:rFonts w:hint="eastAsia" w:ascii="宋体" w:hAnsi="宋体" w:eastAsia="宋体" w:cs="宋体"/>
          <w:sz w:val="28"/>
          <w:szCs w:val="28"/>
          <w:lang w:val="en-US" w:eastAsia="zh-CN"/>
        </w:rPr>
        <w:t>2</w:t>
      </w:r>
      <w:r>
        <w:rPr>
          <w:rFonts w:hint="eastAsia" w:ascii="宋体" w:hAnsi="宋体" w:eastAsia="宋体" w:cs="宋体"/>
          <w:sz w:val="28"/>
          <w:szCs w:val="28"/>
        </w:rPr>
        <w:t>小时内到达现场，4小时内解决问题，如在4小时内不能解决问题，应免费用同样的产品更换到位。如</w:t>
      </w:r>
      <w:r>
        <w:rPr>
          <w:rFonts w:hint="eastAsia" w:ascii="宋体" w:hAnsi="宋体" w:eastAsia="宋体" w:cs="宋体"/>
          <w:sz w:val="28"/>
          <w:szCs w:val="28"/>
          <w:lang w:eastAsia="zh-CN"/>
        </w:rPr>
        <w:t>成交供应商</w:t>
      </w:r>
      <w:r>
        <w:rPr>
          <w:rFonts w:hint="eastAsia" w:ascii="宋体" w:hAnsi="宋体" w:eastAsia="宋体" w:cs="宋体"/>
          <w:sz w:val="28"/>
          <w:szCs w:val="28"/>
        </w:rPr>
        <w:t>在接到通知后2小时内没有答复或处理问题，则视为</w:t>
      </w:r>
      <w:r>
        <w:rPr>
          <w:rFonts w:hint="eastAsia" w:ascii="宋体" w:hAnsi="宋体" w:eastAsia="宋体" w:cs="宋体"/>
          <w:sz w:val="28"/>
          <w:szCs w:val="28"/>
          <w:lang w:eastAsia="zh-CN"/>
        </w:rPr>
        <w:t>成交供应商</w:t>
      </w:r>
      <w:r>
        <w:rPr>
          <w:rFonts w:hint="eastAsia" w:ascii="宋体" w:hAnsi="宋体" w:eastAsia="宋体" w:cs="宋体"/>
          <w:sz w:val="28"/>
          <w:szCs w:val="28"/>
        </w:rPr>
        <w:t>承认质量问题并承担由此而发生的一切费用。</w:t>
      </w:r>
    </w:p>
    <w:p w14:paraId="36E44A31">
      <w:r>
        <w:rPr>
          <w:rFonts w:hint="eastAsia"/>
          <w:sz w:val="32"/>
          <w:szCs w:val="32"/>
        </w:rPr>
        <w:br w:type="page"/>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3292A3"/>
    <w:multiLevelType w:val="singleLevel"/>
    <w:tmpl w:val="C43292A3"/>
    <w:lvl w:ilvl="0" w:tentative="0">
      <w:start w:val="1"/>
      <w:numFmt w:val="decimal"/>
      <w:suff w:val="nothing"/>
      <w:lvlText w:val="%1、"/>
      <w:lvlJc w:val="left"/>
      <w:rPr>
        <w:rFonts w:hint="default"/>
        <w:color w:val="FF000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D215FE"/>
    <w:rsid w:val="18B9039C"/>
    <w:rsid w:val="43D215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7"/>
    <w:qFormat/>
    <w:uiPriority w:val="0"/>
    <w:pPr>
      <w:keepNext/>
      <w:keepLines/>
      <w:spacing w:before="340" w:beforeLines="0" w:after="330" w:afterLines="0" w:line="578" w:lineRule="auto"/>
      <w:outlineLvl w:val="0"/>
    </w:pPr>
    <w:rPr>
      <w:b/>
      <w:bCs/>
      <w:kern w:val="44"/>
      <w:sz w:val="44"/>
      <w:szCs w:val="44"/>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uiPriority w:val="0"/>
    <w:pPr>
      <w:jc w:val="left"/>
    </w:pPr>
    <w:rPr>
      <w:rFonts w:ascii="Arial" w:hAnsi="Arial" w:eastAsia="黑体"/>
      <w:b/>
      <w:kern w:val="0"/>
      <w:sz w:val="32"/>
      <w:szCs w:val="20"/>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标题 1 Char"/>
    <w:basedOn w:val="6"/>
    <w:link w:val="3"/>
    <w:locked/>
    <w:uiPriority w:val="0"/>
    <w:rPr>
      <w:b/>
      <w:bCs/>
      <w:kern w:val="44"/>
      <w:sz w:val="44"/>
      <w:szCs w:val="44"/>
    </w:rPr>
  </w:style>
  <w:style w:type="character" w:customStyle="1" w:styleId="8">
    <w:name w:val="font51"/>
    <w:basedOn w:val="6"/>
    <w:qFormat/>
    <w:uiPriority w:val="0"/>
    <w:rPr>
      <w:rFonts w:ascii="Calibri" w:hAnsi="Calibri" w:cs="Calibri"/>
      <w:color w:val="000000"/>
      <w:sz w:val="21"/>
      <w:szCs w:val="21"/>
      <w:u w:val="none"/>
    </w:rPr>
  </w:style>
  <w:style w:type="paragraph" w:customStyle="1" w:styleId="9">
    <w:name w:val="Table Paragraph"/>
    <w:basedOn w:val="1"/>
    <w:qFormat/>
    <w:uiPriority w:val="1"/>
    <w:rPr>
      <w:rFonts w:ascii="宋体" w:hAnsi="宋体" w:eastAsia="宋体" w:cs="宋体"/>
    </w:rPr>
  </w:style>
  <w:style w:type="character" w:customStyle="1" w:styleId="10">
    <w:name w:val="font21"/>
    <w:basedOn w:val="6"/>
    <w:qFormat/>
    <w:uiPriority w:val="0"/>
    <w:rPr>
      <w:rFonts w:ascii="Calibri" w:hAnsi="Calibri" w:cs="Calibri"/>
      <w:color w:val="000000"/>
      <w:sz w:val="21"/>
      <w:szCs w:val="21"/>
      <w:u w:val="none"/>
    </w:rPr>
  </w:style>
  <w:style w:type="character" w:customStyle="1" w:styleId="11">
    <w:name w:val="NormalCharacter"/>
    <w:semiHidden/>
    <w:qFormat/>
    <w:uiPriority w:val="0"/>
  </w:style>
  <w:style w:type="paragraph" w:styleId="1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2025-07-25T15:01:00Z</dcterms:created>
  <dc:creator>高杨</dc:creator>
  <cp:lastModifiedBy>高杨</cp:lastModifiedBy>
  <dcterms:modified xsi:type="dcterms:W3CDTF">2025-07-25T15:14:31Z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301C6CE0368E43C8A65E1822A3A33FB5_11</vt:lpwstr>
  </property>
  <property fmtid="{D5CDD505-2E9C-101B-9397-08002B2CF9AE}" pid="4" name="KSOTemplateDocerSaveRecord">
    <vt:lpwstr>eyJoZGlkIjoiNmQ1NWRkMDIzMDZhMGY5ZDQwYjA3MGM4M2Q5N2ZmNzAiLCJ1c2VySWQiOiI0OTQ3NTI0ODcifQ==</vt:lpwstr>
  </property>
</Properties>
</file>