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4FDB1">
      <w:pPr>
        <w:snapToGrid w:val="0"/>
        <w:spacing w:before="312" w:beforeLines="100" w:after="156" w:afterLines="50" w:line="4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bookmarkStart w:id="1" w:name="_GoBack"/>
      <w:bookmarkEnd w:id="1"/>
      <w:r>
        <w:rPr>
          <w:rFonts w:hint="eastAsia" w:ascii="宋体" w:hAnsi="宋体"/>
          <w:b/>
          <w:bCs/>
          <w:sz w:val="44"/>
          <w:szCs w:val="44"/>
        </w:rPr>
        <w:t>动态血压监测仪参数</w:t>
      </w:r>
    </w:p>
    <w:p w14:paraId="1D776A51">
      <w:pPr>
        <w:snapToGrid w:val="0"/>
        <w:spacing w:line="44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、</w:t>
      </w:r>
      <w:r>
        <w:rPr>
          <w:rFonts w:hint="eastAsia" w:ascii="宋体" w:hAnsi="宋体"/>
          <w:sz w:val="24"/>
        </w:rPr>
        <w:t>监测仪参数</w:t>
      </w:r>
      <w:r>
        <w:rPr>
          <w:rFonts w:ascii="宋体" w:hAnsi="宋体"/>
          <w:sz w:val="24"/>
        </w:rPr>
        <w:t>：</w:t>
      </w:r>
    </w:p>
    <w:p w14:paraId="625855DA">
      <w:pPr>
        <w:numPr>
          <w:ilvl w:val="0"/>
          <w:numId w:val="1"/>
        </w:numPr>
        <w:snapToGrid w:val="0"/>
        <w:spacing w:line="440" w:lineRule="exact"/>
        <w:rPr>
          <w:rFonts w:ascii="宋体" w:hAnsi="宋体"/>
          <w:sz w:val="24"/>
        </w:rPr>
      </w:pPr>
      <w:r>
        <w:rPr>
          <w:rFonts w:hint="eastAsia" w:ascii="宋体" w:hAnsi="宋体"/>
          <w:bCs/>
          <w:sz w:val="24"/>
        </w:rPr>
        <w:t>具备预置病人信息功能</w:t>
      </w:r>
    </w:p>
    <w:p w14:paraId="13949990">
      <w:pPr>
        <w:numPr>
          <w:ilvl w:val="0"/>
          <w:numId w:val="1"/>
        </w:numPr>
        <w:snapToGrid w:val="0"/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测量方法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bCs/>
          <w:sz w:val="24"/>
        </w:rPr>
        <w:t>振荡法（示波法）</w:t>
      </w:r>
    </w:p>
    <w:p w14:paraId="4886111F">
      <w:pPr>
        <w:numPr>
          <w:ilvl w:val="0"/>
          <w:numId w:val="1"/>
        </w:numPr>
        <w:snapToGrid w:val="0"/>
        <w:spacing w:line="44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显示方式：有</w:t>
      </w:r>
      <w:r>
        <w:rPr>
          <w:rFonts w:hint="eastAsia" w:ascii="宋体" w:hAnsi="宋体"/>
          <w:bCs/>
          <w:sz w:val="24"/>
        </w:rPr>
        <w:t>液晶显示屏</w:t>
      </w:r>
    </w:p>
    <w:p w14:paraId="68E1521F">
      <w:pPr>
        <w:numPr>
          <w:ilvl w:val="0"/>
          <w:numId w:val="1"/>
        </w:numPr>
        <w:snapToGrid w:val="0"/>
        <w:spacing w:line="44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显示内容：可显示实时时间，电池电量，中英文界面可选</w:t>
      </w:r>
    </w:p>
    <w:p w14:paraId="5FE70B56">
      <w:pPr>
        <w:numPr>
          <w:ilvl w:val="0"/>
          <w:numId w:val="1"/>
        </w:numPr>
        <w:snapToGrid w:val="0"/>
        <w:spacing w:line="440" w:lineRule="exact"/>
        <w:rPr>
          <w:rFonts w:ascii="宋体" w:hAnsi="宋体"/>
          <w:sz w:val="24"/>
        </w:rPr>
      </w:pPr>
      <w:r>
        <w:rPr>
          <w:rFonts w:hint="eastAsia" w:ascii="宋体" w:hAnsi="宋体"/>
          <w:bCs/>
          <w:sz w:val="24"/>
        </w:rPr>
        <w:t>示值范围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bCs/>
          <w:sz w:val="24"/>
        </w:rPr>
        <w:t>0～290mm</w:t>
      </w:r>
      <w:r>
        <w:rPr>
          <w:rFonts w:ascii="宋体" w:hAnsi="宋体"/>
          <w:bCs/>
          <w:sz w:val="24"/>
        </w:rPr>
        <w:t>Hg</w:t>
      </w:r>
    </w:p>
    <w:p w14:paraId="769C1E3F">
      <w:pPr>
        <w:numPr>
          <w:ilvl w:val="0"/>
          <w:numId w:val="1"/>
        </w:numPr>
        <w:snapToGrid w:val="0"/>
        <w:spacing w:line="440" w:lineRule="exact"/>
        <w:rPr>
          <w:rFonts w:ascii="宋体" w:hAnsi="宋体"/>
          <w:sz w:val="24"/>
        </w:rPr>
      </w:pPr>
      <w:r>
        <w:rPr>
          <w:rFonts w:hint="eastAsia" w:ascii="宋体" w:hAnsi="宋体"/>
          <w:bCs/>
          <w:sz w:val="24"/>
        </w:rPr>
        <w:t>测量范围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bCs/>
          <w:sz w:val="24"/>
        </w:rPr>
        <w:t>收缩压：50～255 mmHg；舒张压：30～200 mmHg</w:t>
      </w:r>
    </w:p>
    <w:p w14:paraId="342A09DE">
      <w:pPr>
        <w:numPr>
          <w:ilvl w:val="0"/>
          <w:numId w:val="1"/>
        </w:numPr>
        <w:snapToGrid w:val="0"/>
        <w:spacing w:line="44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记录时间：≥24小时</w:t>
      </w:r>
    </w:p>
    <w:p w14:paraId="45367824">
      <w:pPr>
        <w:numPr>
          <w:ilvl w:val="0"/>
          <w:numId w:val="1"/>
        </w:numPr>
        <w:snapToGrid w:val="0"/>
        <w:spacing w:line="440" w:lineRule="exact"/>
        <w:rPr>
          <w:rFonts w:ascii="宋体" w:hAnsi="宋体"/>
          <w:sz w:val="24"/>
        </w:rPr>
      </w:pPr>
      <w:r>
        <w:rPr>
          <w:rFonts w:hint="eastAsia" w:ascii="宋体" w:hAnsi="宋体"/>
          <w:bCs/>
          <w:sz w:val="24"/>
        </w:rPr>
        <w:t>测量精度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bCs/>
          <w:sz w:val="24"/>
        </w:rPr>
        <w:t>误差≤</w:t>
      </w:r>
      <w:r>
        <w:rPr>
          <w:rFonts w:ascii="宋体" w:hAnsi="宋体"/>
          <w:bCs/>
          <w:sz w:val="24"/>
        </w:rPr>
        <w:t xml:space="preserve"> 3mmHg</w:t>
      </w:r>
    </w:p>
    <w:p w14:paraId="275DE9BC">
      <w:pPr>
        <w:numPr>
          <w:ilvl w:val="0"/>
          <w:numId w:val="1"/>
        </w:numPr>
        <w:snapToGrid w:val="0"/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测量间隔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sz w:val="24"/>
        </w:rPr>
        <w:t>5</w:t>
      </w:r>
      <w:r>
        <w:rPr>
          <w:rFonts w:hint="eastAsia" w:ascii="宋体" w:hAnsi="宋体"/>
          <w:bCs/>
          <w:sz w:val="24"/>
        </w:rPr>
        <w:t>～12</w:t>
      </w:r>
      <w:r>
        <w:rPr>
          <w:rFonts w:ascii="宋体" w:hAnsi="宋体"/>
          <w:bCs/>
          <w:sz w:val="24"/>
        </w:rPr>
        <w:t>0</w:t>
      </w:r>
      <w:r>
        <w:rPr>
          <w:rFonts w:hint="eastAsia" w:ascii="宋体" w:hAnsi="宋体"/>
          <w:bCs/>
          <w:sz w:val="24"/>
        </w:rPr>
        <w:t>分钟可任意选择</w:t>
      </w:r>
    </w:p>
    <w:p w14:paraId="26A76E2A">
      <w:pPr>
        <w:numPr>
          <w:ilvl w:val="0"/>
          <w:numId w:val="1"/>
        </w:numPr>
        <w:snapToGrid w:val="0"/>
        <w:spacing w:line="440" w:lineRule="exac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测量时间：白天、夜晚测量时间段；另可自由设置测量时间段</w:t>
      </w:r>
    </w:p>
    <w:p w14:paraId="50C48BD3">
      <w:pPr>
        <w:numPr>
          <w:ilvl w:val="0"/>
          <w:numId w:val="1"/>
        </w:numPr>
        <w:snapToGrid w:val="0"/>
        <w:spacing w:line="44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Cs/>
          <w:sz w:val="24"/>
        </w:rPr>
        <w:t>通讯方式：USB数据线/读卡器兼容</w:t>
      </w:r>
    </w:p>
    <w:p w14:paraId="65015A66">
      <w:pPr>
        <w:numPr>
          <w:ilvl w:val="0"/>
          <w:numId w:val="1"/>
        </w:numPr>
        <w:snapToGrid w:val="0"/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存储方式：内置存储芯片</w:t>
      </w:r>
    </w:p>
    <w:p w14:paraId="497B8834">
      <w:pPr>
        <w:numPr>
          <w:ilvl w:val="0"/>
          <w:numId w:val="1"/>
        </w:numPr>
        <w:snapToGrid w:val="0"/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spacing w:val="12"/>
          <w:sz w:val="24"/>
        </w:rPr>
        <w:t>★</w:t>
      </w:r>
      <w:r>
        <w:rPr>
          <w:rFonts w:hint="eastAsia" w:ascii="宋体" w:hAnsi="宋体"/>
          <w:bCs/>
          <w:sz w:val="24"/>
        </w:rPr>
        <w:t>血压测量同时自动生成对应的“脉动波形图”，可根据“脉动波形图”的形状判断此次测量数据的真实性、有效性</w:t>
      </w:r>
    </w:p>
    <w:p w14:paraId="778B44F0">
      <w:pPr>
        <w:numPr>
          <w:ilvl w:val="0"/>
          <w:numId w:val="1"/>
        </w:numPr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具备压力过载保护，如遇特殊情况可中断测量并快速释压，具备自动补充气功能，可适应各种血压及不同脉搏的病人，轻松应对血压突然升高的情况</w:t>
      </w:r>
    </w:p>
    <w:p w14:paraId="11370A14">
      <w:pPr>
        <w:numPr>
          <w:ilvl w:val="0"/>
          <w:numId w:val="1"/>
        </w:numPr>
        <w:tabs>
          <w:tab w:val="left" w:pos="420"/>
        </w:tabs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具备测量失败自动重测功能</w:t>
      </w:r>
    </w:p>
    <w:p w14:paraId="4BE99D76">
      <w:pPr>
        <w:numPr>
          <w:ilvl w:val="0"/>
          <w:numId w:val="1"/>
        </w:numPr>
        <w:tabs>
          <w:tab w:val="left" w:pos="420"/>
        </w:tabs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具备在记录过程中加测血压的功能</w:t>
      </w:r>
    </w:p>
    <w:p w14:paraId="5F8D7085">
      <w:pPr>
        <w:numPr>
          <w:ilvl w:val="0"/>
          <w:numId w:val="1"/>
        </w:numPr>
        <w:tabs>
          <w:tab w:val="left" w:pos="420"/>
        </w:tabs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具备在记录过程中暂停、恢复记录过程的功能</w:t>
      </w:r>
    </w:p>
    <w:p w14:paraId="7897F05C">
      <w:pPr>
        <w:numPr>
          <w:ilvl w:val="0"/>
          <w:numId w:val="1"/>
        </w:numPr>
        <w:tabs>
          <w:tab w:val="left" w:pos="420"/>
        </w:tabs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具备低电压提示功能</w:t>
      </w:r>
    </w:p>
    <w:p w14:paraId="14186E01">
      <w:pPr>
        <w:numPr>
          <w:ilvl w:val="0"/>
          <w:numId w:val="1"/>
        </w:numPr>
        <w:tabs>
          <w:tab w:val="left" w:pos="420"/>
        </w:tabs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具备断电续记功能</w:t>
      </w:r>
    </w:p>
    <w:p w14:paraId="6C8FB50D">
      <w:pPr>
        <w:numPr>
          <w:ilvl w:val="0"/>
          <w:numId w:val="1"/>
        </w:numPr>
        <w:tabs>
          <w:tab w:val="left" w:pos="420"/>
        </w:tabs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具备压力检定功能</w:t>
      </w:r>
    </w:p>
    <w:p w14:paraId="6B08F039">
      <w:pPr>
        <w:numPr>
          <w:ilvl w:val="0"/>
          <w:numId w:val="1"/>
        </w:numPr>
        <w:tabs>
          <w:tab w:val="left" w:pos="420"/>
        </w:tabs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spacing w:val="12"/>
          <w:sz w:val="24"/>
        </w:rPr>
        <w:t>★</w:t>
      </w:r>
      <w:r>
        <w:rPr>
          <w:rFonts w:hint="eastAsia" w:ascii="宋体" w:hAnsi="宋体"/>
          <w:bCs/>
          <w:sz w:val="24"/>
        </w:rPr>
        <w:t xml:space="preserve"> 具备软件参数同步功能</w:t>
      </w:r>
    </w:p>
    <w:p w14:paraId="4704DC97">
      <w:pPr>
        <w:snapToGrid w:val="0"/>
        <w:spacing w:line="44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二、分析软件参数：</w:t>
      </w:r>
    </w:p>
    <w:p w14:paraId="1A54F21B">
      <w:pPr>
        <w:snapToGrid w:val="0"/>
        <w:spacing w:line="440" w:lineRule="exact"/>
        <w:rPr>
          <w:rFonts w:ascii="宋体" w:hAnsi="宋体"/>
          <w:sz w:val="24"/>
        </w:rPr>
      </w:pPr>
      <w:bookmarkStart w:id="0" w:name="_Hlk81391673"/>
      <w:r>
        <w:rPr>
          <w:rFonts w:ascii="宋体" w:hAnsi="宋体"/>
          <w:sz w:val="24"/>
        </w:rPr>
        <w:t>1.</w:t>
      </w:r>
      <w:r>
        <w:rPr>
          <w:rFonts w:hint="eastAsia" w:ascii="宋体" w:hAnsi="宋体"/>
          <w:sz w:val="24"/>
        </w:rPr>
        <w:t>软件操作流程简洁，图表数据丰富、分析报告详实，提供高血压指南报告模板；</w:t>
      </w:r>
    </w:p>
    <w:p w14:paraId="3D400A4E">
      <w:pPr>
        <w:snapToGrid w:val="0"/>
        <w:spacing w:line="440" w:lineRule="exact"/>
        <w:rPr>
          <w:rFonts w:ascii="宋体" w:hAnsi="宋体"/>
          <w:bCs/>
          <w:sz w:val="24"/>
        </w:rPr>
      </w:pPr>
      <w:r>
        <w:rPr>
          <w:rFonts w:ascii="宋体" w:hAnsi="宋体"/>
          <w:sz w:val="24"/>
        </w:rPr>
        <w:t>2.</w:t>
      </w:r>
      <w:r>
        <w:rPr>
          <w:rFonts w:hint="eastAsia" w:ascii="宋体" w:hAnsi="宋体"/>
          <w:sz w:val="24"/>
        </w:rPr>
        <w:t>软件可对记录仪自动生成的“血压脉动波形”</w:t>
      </w:r>
      <w:r>
        <w:rPr>
          <w:rFonts w:hint="eastAsia" w:ascii="宋体" w:hAnsi="宋体"/>
          <w:bCs/>
          <w:sz w:val="24"/>
        </w:rPr>
        <w:t xml:space="preserve">进行有效编辑，便于保留有效数据； </w:t>
      </w:r>
    </w:p>
    <w:bookmarkEnd w:id="0"/>
    <w:p w14:paraId="1894219A">
      <w:pPr>
        <w:spacing w:line="440" w:lineRule="exact"/>
        <w:ind w:left="425" w:hanging="425"/>
        <w:rPr>
          <w:rFonts w:ascii="宋体" w:hAnsi="宋体"/>
          <w:bCs/>
          <w:color w:val="000000"/>
          <w:sz w:val="24"/>
        </w:rPr>
      </w:pPr>
      <w:r>
        <w:rPr>
          <w:rFonts w:ascii="宋体" w:hAnsi="宋体"/>
          <w:bCs/>
          <w:color w:val="000000"/>
          <w:sz w:val="24"/>
        </w:rPr>
        <w:t>3.</w:t>
      </w:r>
      <w:r>
        <w:rPr>
          <w:rFonts w:hint="eastAsia" w:ascii="宋体" w:hAnsi="宋体"/>
          <w:bCs/>
          <w:color w:val="000000"/>
          <w:sz w:val="24"/>
        </w:rPr>
        <w:t>软件具备血压分析功能；</w:t>
      </w:r>
    </w:p>
    <w:p w14:paraId="42CA170E">
      <w:pPr>
        <w:spacing w:line="440" w:lineRule="exact"/>
        <w:ind w:left="425" w:hanging="425"/>
        <w:rPr>
          <w:rFonts w:hint="eastAsia"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4</w:t>
      </w:r>
      <w:r>
        <w:rPr>
          <w:rFonts w:ascii="宋体" w:hAnsi="宋体"/>
          <w:bCs/>
          <w:color w:val="000000"/>
          <w:sz w:val="24"/>
        </w:rPr>
        <w:t>.</w:t>
      </w:r>
      <w:r>
        <w:rPr>
          <w:rFonts w:hint="eastAsia" w:ascii="宋体" w:hAnsi="宋体"/>
          <w:bCs/>
          <w:color w:val="000000"/>
          <w:sz w:val="24"/>
        </w:rPr>
        <w:t>软件具备血压变异、晨峰血压、清晨血压、动脉硬化指数分析；</w:t>
      </w:r>
    </w:p>
    <w:p w14:paraId="7CF1A960">
      <w:pPr>
        <w:spacing w:line="440" w:lineRule="exact"/>
        <w:ind w:left="425" w:hanging="425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5</w:t>
      </w:r>
      <w:r>
        <w:rPr>
          <w:rFonts w:ascii="宋体" w:hAnsi="宋体"/>
          <w:bCs/>
          <w:sz w:val="24"/>
        </w:rPr>
        <w:t>.</w:t>
      </w:r>
      <w:r>
        <w:rPr>
          <w:rFonts w:hint="eastAsia" w:ascii="宋体" w:hAnsi="宋体"/>
          <w:bCs/>
          <w:sz w:val="24"/>
        </w:rPr>
        <w:t>有趋势图、圆饼图、波形图、分类直方图和散点图等汇总窗口，为用户提供多种途径和角度分析病例数据；</w:t>
      </w:r>
    </w:p>
    <w:p w14:paraId="2EA8D1E3">
      <w:pPr>
        <w:spacing w:line="440" w:lineRule="exact"/>
        <w:ind w:left="425" w:hanging="425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6</w:t>
      </w:r>
      <w:r>
        <w:rPr>
          <w:rFonts w:ascii="宋体" w:hAnsi="宋体"/>
          <w:bCs/>
          <w:sz w:val="24"/>
        </w:rPr>
        <w:t>.</w:t>
      </w:r>
      <w:r>
        <w:rPr>
          <w:rFonts w:hint="eastAsia" w:ascii="宋体" w:hAnsi="宋体"/>
          <w:bCs/>
          <w:sz w:val="24"/>
        </w:rPr>
        <w:t>判定阈值可调，满足特殊病人类型或临床研究需要；</w:t>
      </w:r>
    </w:p>
    <w:p w14:paraId="3CB12030">
      <w:pPr>
        <w:spacing w:line="440" w:lineRule="exact"/>
        <w:ind w:left="425" w:hanging="425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Cs/>
          <w:sz w:val="24"/>
        </w:rPr>
        <w:t>7</w:t>
      </w:r>
      <w:r>
        <w:rPr>
          <w:rFonts w:ascii="宋体" w:hAnsi="宋体"/>
          <w:bCs/>
          <w:sz w:val="24"/>
        </w:rPr>
        <w:t>.</w:t>
      </w:r>
      <w:r>
        <w:rPr>
          <w:rFonts w:hint="eastAsia" w:ascii="宋体" w:hAnsi="宋体"/>
          <w:bCs/>
          <w:sz w:val="24"/>
        </w:rPr>
        <w:t>软件具备完善的病例管理功能，可根据不同的需求进行搜索归类，数据可网络传输，形成网络版功能，并可接入各类网络数据管理平台。</w:t>
      </w:r>
    </w:p>
    <w:p w14:paraId="2C38DE1A">
      <w:pPr>
        <w:numPr>
          <w:ilvl w:val="0"/>
          <w:numId w:val="2"/>
        </w:numPr>
        <w:spacing w:line="440" w:lineRule="exac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产品认证</w:t>
      </w:r>
    </w:p>
    <w:p w14:paraId="791F738F">
      <w:pPr>
        <w:tabs>
          <w:tab w:val="left" w:pos="420"/>
        </w:tabs>
        <w:snapToGrid w:val="0"/>
        <w:spacing w:line="44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1.生产厂家通过质量认证体系（ISO13485）认证</w:t>
      </w:r>
    </w:p>
    <w:p w14:paraId="7899C97C">
      <w:pPr>
        <w:spacing w:line="460" w:lineRule="exact"/>
        <w:rPr>
          <w:rFonts w:hint="eastAsia" w:ascii="宋体" w:hAnsi="宋体"/>
          <w:bCs/>
          <w:spacing w:val="12"/>
          <w:sz w:val="24"/>
        </w:rPr>
      </w:pPr>
      <w:r>
        <w:rPr>
          <w:rFonts w:hint="eastAsia" w:ascii="宋体" w:hAnsi="宋体"/>
          <w:bCs/>
          <w:spacing w:val="12"/>
          <w:sz w:val="24"/>
        </w:rPr>
        <w:t>四、商务部分</w:t>
      </w:r>
    </w:p>
    <w:p w14:paraId="27A001C3">
      <w:pPr>
        <w:spacing w:line="460" w:lineRule="exact"/>
        <w:rPr>
          <w:rFonts w:hint="eastAsia"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>1、有效的Ⅱ类医疗器械注册证。</w:t>
      </w:r>
    </w:p>
    <w:p w14:paraId="3A208399">
      <w:pPr>
        <w:spacing w:line="460" w:lineRule="exact"/>
        <w:rPr>
          <w:rFonts w:hint="eastAsia"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>2、所有货物（包括零部件）须为全新的、未使用过的原装正品。</w:t>
      </w:r>
    </w:p>
    <w:p w14:paraId="7FD64433">
      <w:pPr>
        <w:spacing w:line="460" w:lineRule="exact"/>
        <w:rPr>
          <w:rFonts w:hint="eastAsia"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>3、设备验收合格后，整机原厂质保3年，所有质保费用均已包含在投标总报价中。</w:t>
      </w:r>
    </w:p>
    <w:p w14:paraId="61E6F151">
      <w:pPr>
        <w:spacing w:line="460" w:lineRule="exact"/>
        <w:rPr>
          <w:rFonts w:hint="eastAsia"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>4、所提供设备为近期生产（以合同签订日为准，6个月内所生产的机型）。</w:t>
      </w:r>
    </w:p>
    <w:p w14:paraId="118F814E">
      <w:pPr>
        <w:spacing w:line="460" w:lineRule="exact"/>
        <w:rPr>
          <w:rFonts w:hint="eastAsia"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>5、提供每年2次主动上门维护保养服务，并出具工单。</w:t>
      </w:r>
    </w:p>
    <w:p w14:paraId="0609B3A8">
      <w:pPr>
        <w:spacing w:line="460" w:lineRule="exact"/>
        <w:rPr>
          <w:rFonts w:hint="eastAsia"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>6、培训：中标人根据采购人要求，提供不少于3次技术培训，保证工作人员正常操作设备各种功能。</w:t>
      </w:r>
    </w:p>
    <w:p w14:paraId="565B2D98">
      <w:pPr>
        <w:spacing w:line="460" w:lineRule="exact"/>
        <w:rPr>
          <w:rFonts w:hint="eastAsia"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>7、售后服务响应时间：</w:t>
      </w:r>
    </w:p>
    <w:p w14:paraId="226D297A">
      <w:pPr>
        <w:spacing w:line="460" w:lineRule="exact"/>
        <w:ind w:firstLine="528" w:firstLineChars="200"/>
        <w:rPr>
          <w:rFonts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>如货物出现质量问题，中标人须 2小时内响应，电话响应无法解决，中标人必须在接报修电话 24 小时内到达现场并在48小时内解决问题。如不能解决的，中标人需提供备品备件供采购人使用。质保期内如货物出现质量问题，中标人负责修复，对于无法修复的情况，中标人负责更换。</w:t>
      </w:r>
    </w:p>
    <w:p w14:paraId="2D3F4808">
      <w:pPr>
        <w:spacing w:line="460" w:lineRule="exact"/>
        <w:rPr>
          <w:rFonts w:hint="eastAsia"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 xml:space="preserve">8、供货期：自合同签订之日起 30 日内供货并安装调试完毕。 </w:t>
      </w:r>
    </w:p>
    <w:p w14:paraId="0011C907">
      <w:pPr>
        <w:spacing w:line="460" w:lineRule="exact"/>
        <w:rPr>
          <w:rFonts w:hint="eastAsia"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>9、供货地点：马鞍山市人民医院。</w:t>
      </w:r>
    </w:p>
    <w:p w14:paraId="2DE908EC">
      <w:pPr>
        <w:spacing w:line="460" w:lineRule="exact"/>
        <w:rPr>
          <w:rFonts w:hint="eastAsia" w:ascii="宋体" w:hAnsi="宋体"/>
          <w:spacing w:val="12"/>
          <w:sz w:val="24"/>
        </w:rPr>
      </w:pPr>
      <w:r>
        <w:rPr>
          <w:rFonts w:hint="eastAsia" w:ascii="宋体" w:hAnsi="宋体"/>
          <w:spacing w:val="12"/>
          <w:sz w:val="24"/>
        </w:rPr>
        <w:t>10、支付方式：项目供货并安装调试完毕自甲方验收合格后，甲方向乙方支付合同金额的100%。</w:t>
      </w:r>
    </w:p>
    <w:p w14:paraId="18BF927A">
      <w:pPr>
        <w:rPr>
          <w:rFonts w:ascii="宋体" w:hAnsi="宋体"/>
          <w:spacing w:val="12"/>
          <w:sz w:val="24"/>
        </w:rPr>
      </w:pPr>
    </w:p>
    <w:p w14:paraId="50A1E362">
      <w:pPr>
        <w:rPr>
          <w:rFonts w:ascii="宋体" w:hAnsi="宋体"/>
          <w:spacing w:val="12"/>
          <w:sz w:val="24"/>
        </w:rPr>
      </w:pPr>
    </w:p>
    <w:p w14:paraId="44F218F0">
      <w:pPr>
        <w:rPr>
          <w:rFonts w:hint="eastAsia" w:ascii="宋体" w:hAnsi="宋体"/>
          <w:spacing w:val="12"/>
          <w:sz w:val="24"/>
        </w:rPr>
      </w:pPr>
    </w:p>
    <w:sectPr>
      <w:headerReference r:id="rId3" w:type="default"/>
      <w:pgSz w:w="11906" w:h="16838"/>
      <w:pgMar w:top="1440" w:right="1486" w:bottom="1440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1B7FE0">
    <w:pPr>
      <w:spacing w:line="240" w:lineRule="atLeast"/>
      <w:jc w:val="center"/>
      <w:rPr>
        <w:rFonts w:hint="eastAsia" w:ascii="Times New Roman" w:hAnsi="Times New Roman"/>
        <w:b/>
        <w:bCs/>
        <w:sz w:val="3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FC11C7"/>
    <w:multiLevelType w:val="singleLevel"/>
    <w:tmpl w:val="5FFC11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74CC66C4"/>
    <w:multiLevelType w:val="singleLevel"/>
    <w:tmpl w:val="74CC66C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yNTRjMWVlZTEwNzVlMzc3NjQ1ZTE0Mjc0NGEyMDUifQ=="/>
  </w:docVars>
  <w:rsids>
    <w:rsidRoot w:val="00F45CBD"/>
    <w:rsid w:val="000D483F"/>
    <w:rsid w:val="00155991"/>
    <w:rsid w:val="00350493"/>
    <w:rsid w:val="003E73CB"/>
    <w:rsid w:val="004422AD"/>
    <w:rsid w:val="00822F78"/>
    <w:rsid w:val="00DB744A"/>
    <w:rsid w:val="00F45CBD"/>
    <w:rsid w:val="00FC5C7C"/>
    <w:rsid w:val="0308111A"/>
    <w:rsid w:val="07874F59"/>
    <w:rsid w:val="0E9733D5"/>
    <w:rsid w:val="0F8D7A52"/>
    <w:rsid w:val="10306CD8"/>
    <w:rsid w:val="136F087E"/>
    <w:rsid w:val="16DC22CD"/>
    <w:rsid w:val="1C270A11"/>
    <w:rsid w:val="271B3CF4"/>
    <w:rsid w:val="2B002D1A"/>
    <w:rsid w:val="2DD56222"/>
    <w:rsid w:val="2E312C82"/>
    <w:rsid w:val="2F594063"/>
    <w:rsid w:val="32D465B6"/>
    <w:rsid w:val="357E789F"/>
    <w:rsid w:val="443839C3"/>
    <w:rsid w:val="46F328C6"/>
    <w:rsid w:val="477A6E15"/>
    <w:rsid w:val="47CE2EEB"/>
    <w:rsid w:val="4C7669AC"/>
    <w:rsid w:val="512773A4"/>
    <w:rsid w:val="538C6404"/>
    <w:rsid w:val="54CE74AF"/>
    <w:rsid w:val="5BE671A4"/>
    <w:rsid w:val="672506F4"/>
    <w:rsid w:val="67D6549D"/>
    <w:rsid w:val="6A7A7DA7"/>
    <w:rsid w:val="6E3B50E8"/>
    <w:rsid w:val="6EE06090"/>
    <w:rsid w:val="74164E6F"/>
    <w:rsid w:val="76FA7709"/>
    <w:rsid w:val="77366084"/>
    <w:rsid w:val="7B0A25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rPr>
      <w:rFonts w:ascii="楷体_GB2312" w:hAnsi="Arial" w:eastAsia="楷体_GB2312"/>
      <w:sz w:val="28"/>
      <w:szCs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1079</Words>
  <Characters>1128</Characters>
  <Lines>8</Lines>
  <Paragraphs>2</Paragraphs>
  <TotalTime>0</TotalTime>
  <ScaleCrop>false</ScaleCrop>
  <LinksUpToDate>false</LinksUpToDate>
  <CharactersWithSpaces>1139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2023-09-19T03:59:00Z</dcterms:created>
  <dc:creator>Administrator</dc:creator>
  <cp:lastModifiedBy>木日勿之大</cp:lastModifiedBy>
  <cp:lastPrinted>2025-06-25T08:27:00Z</cp:lastPrinted>
  <dcterms:modified xsi:type="dcterms:W3CDTF">2025-07-17T03:30:38Z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CC7703B09CBD4416BAA0EC7FB8069F4F_13</vt:lpwstr>
  </property>
  <property fmtid="{D5CDD505-2E9C-101B-9397-08002B2CF9AE}" pid="4" name="KSOTemplateDocerSaveRecord">
    <vt:lpwstr>eyJoZGlkIjoiZTUzOTJkNmQ0OWZhYzc2ODNjYThiMzNjMzJkZjg3NDIiLCJ1c2VySWQiOiIyMjc1Nzk4MjAifQ==</vt:lpwstr>
  </property>
</Properties>
</file>