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72DCF">
      <w:pPr>
        <w:pStyle w:val="5"/>
        <w:rPr>
          <w:rFonts w:hint="eastAsia"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光谱治疗仪技术参数</w:t>
      </w:r>
    </w:p>
    <w:p w14:paraId="365CB7D8">
      <w:pPr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一、技术参数</w:t>
      </w:r>
    </w:p>
    <w:p w14:paraId="5A455628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1</w:t>
      </w:r>
      <w:r>
        <w:rPr>
          <w:rFonts w:ascii="宋体" w:hAnsi="宋体" w:eastAsia="宋体"/>
          <w:spacing w:val="6"/>
          <w:sz w:val="24"/>
          <w:szCs w:val="24"/>
        </w:rPr>
        <w:t>、</w:t>
      </w:r>
      <w:r>
        <w:rPr>
          <w:rFonts w:hint="eastAsia" w:ascii="宋体" w:hAnsi="宋体" w:eastAsia="宋体"/>
          <w:spacing w:val="6"/>
          <w:sz w:val="24"/>
          <w:szCs w:val="24"/>
        </w:rPr>
        <w:t>光源模块数量：≥3个；</w:t>
      </w:r>
    </w:p>
    <w:p w14:paraId="0B235144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ascii="宋体" w:hAnsi="宋体" w:eastAsia="宋体" w:cs="微软雅黑"/>
          <w:spacing w:val="6"/>
          <w:sz w:val="24"/>
          <w:szCs w:val="24"/>
        </w:rPr>
        <w:t>2、</w:t>
      </w:r>
      <w:r>
        <w:rPr>
          <w:rFonts w:hint="eastAsia" w:ascii="宋体" w:hAnsi="宋体" w:eastAsia="宋体" w:cs="微软雅黑"/>
          <w:spacing w:val="6"/>
          <w:sz w:val="24"/>
          <w:szCs w:val="24"/>
        </w:rPr>
        <w:t>★</w:t>
      </w:r>
      <w:r>
        <w:rPr>
          <w:rFonts w:hint="eastAsia" w:ascii="宋体" w:hAnsi="宋体" w:eastAsia="宋体"/>
          <w:spacing w:val="6"/>
          <w:sz w:val="24"/>
          <w:szCs w:val="24"/>
        </w:rPr>
        <w:t>支持光源数量：≥3种，必须具备红光、蓝光、黄光。</w:t>
      </w:r>
    </w:p>
    <w:p w14:paraId="31073564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红光620-</w:t>
      </w:r>
      <w:r>
        <w:rPr>
          <w:rFonts w:ascii="宋体" w:hAnsi="宋体" w:eastAsia="宋体"/>
          <w:spacing w:val="6"/>
          <w:sz w:val="24"/>
          <w:szCs w:val="24"/>
        </w:rPr>
        <w:t>6</w:t>
      </w:r>
      <w:r>
        <w:rPr>
          <w:rFonts w:hint="eastAsia" w:ascii="宋体" w:hAnsi="宋体" w:eastAsia="宋体"/>
          <w:spacing w:val="6"/>
          <w:sz w:val="24"/>
          <w:szCs w:val="24"/>
        </w:rPr>
        <w:t>5</w:t>
      </w:r>
      <w:r>
        <w:rPr>
          <w:rFonts w:ascii="宋体" w:hAnsi="宋体" w:eastAsia="宋体"/>
          <w:spacing w:val="6"/>
          <w:sz w:val="24"/>
          <w:szCs w:val="24"/>
        </w:rPr>
        <w:t>0nm</w:t>
      </w:r>
      <w:r>
        <w:rPr>
          <w:rFonts w:hint="eastAsia" w:ascii="宋体" w:hAnsi="宋体" w:eastAsia="宋体"/>
          <w:spacing w:val="6"/>
          <w:sz w:val="24"/>
          <w:szCs w:val="24"/>
        </w:rPr>
        <w:t>、蓝光</w:t>
      </w:r>
      <w:r>
        <w:rPr>
          <w:rFonts w:ascii="宋体" w:hAnsi="宋体" w:eastAsia="宋体"/>
          <w:spacing w:val="6"/>
          <w:sz w:val="24"/>
          <w:szCs w:val="24"/>
        </w:rPr>
        <w:t>4</w:t>
      </w:r>
      <w:r>
        <w:rPr>
          <w:rFonts w:hint="eastAsia" w:ascii="宋体" w:hAnsi="宋体" w:eastAsia="宋体"/>
          <w:spacing w:val="6"/>
          <w:sz w:val="24"/>
          <w:szCs w:val="24"/>
        </w:rPr>
        <w:t>00-470</w:t>
      </w:r>
      <w:r>
        <w:rPr>
          <w:rFonts w:ascii="宋体" w:hAnsi="宋体" w:eastAsia="宋体"/>
          <w:spacing w:val="6"/>
          <w:sz w:val="24"/>
          <w:szCs w:val="24"/>
        </w:rPr>
        <w:t>nm</w:t>
      </w:r>
      <w:r>
        <w:rPr>
          <w:rFonts w:hint="eastAsia" w:ascii="宋体" w:hAnsi="宋体" w:eastAsia="宋体"/>
          <w:spacing w:val="6"/>
          <w:sz w:val="24"/>
          <w:szCs w:val="24"/>
        </w:rPr>
        <w:t>、黄光</w:t>
      </w:r>
      <w:r>
        <w:rPr>
          <w:rFonts w:ascii="宋体" w:hAnsi="宋体" w:eastAsia="宋体"/>
          <w:spacing w:val="6"/>
          <w:sz w:val="24"/>
          <w:szCs w:val="24"/>
        </w:rPr>
        <w:t>5</w:t>
      </w:r>
      <w:r>
        <w:rPr>
          <w:rFonts w:hint="eastAsia" w:ascii="宋体" w:hAnsi="宋体" w:eastAsia="宋体"/>
          <w:spacing w:val="6"/>
          <w:sz w:val="24"/>
          <w:szCs w:val="24"/>
        </w:rPr>
        <w:t>8</w:t>
      </w:r>
      <w:r>
        <w:rPr>
          <w:rFonts w:ascii="宋体" w:hAnsi="宋体" w:eastAsia="宋体"/>
          <w:spacing w:val="6"/>
          <w:sz w:val="24"/>
          <w:szCs w:val="24"/>
        </w:rPr>
        <w:t>0</w:t>
      </w:r>
      <w:r>
        <w:rPr>
          <w:rFonts w:hint="eastAsia" w:ascii="宋体" w:hAnsi="宋体" w:eastAsia="宋体"/>
          <w:spacing w:val="6"/>
          <w:sz w:val="24"/>
          <w:szCs w:val="24"/>
        </w:rPr>
        <w:t>-600</w:t>
      </w:r>
      <w:r>
        <w:rPr>
          <w:rFonts w:ascii="宋体" w:hAnsi="宋体" w:eastAsia="宋体"/>
          <w:spacing w:val="6"/>
          <w:sz w:val="24"/>
          <w:szCs w:val="24"/>
        </w:rPr>
        <w:t>nm</w:t>
      </w:r>
      <w:r>
        <w:rPr>
          <w:rFonts w:hint="eastAsia" w:ascii="宋体" w:hAnsi="宋体" w:eastAsia="宋体"/>
          <w:spacing w:val="6"/>
          <w:sz w:val="24"/>
          <w:szCs w:val="24"/>
        </w:rPr>
        <w:t>，多种光源可选且支持自动切换；</w:t>
      </w:r>
    </w:p>
    <w:p w14:paraId="31E3F680">
      <w:pPr>
        <w:numPr>
          <w:ilvl w:val="0"/>
          <w:numId w:val="1"/>
        </w:num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 w:cs="微软雅黑"/>
          <w:spacing w:val="6"/>
          <w:sz w:val="24"/>
          <w:szCs w:val="24"/>
        </w:rPr>
        <w:t>■有效光</w:t>
      </w:r>
      <w:r>
        <w:rPr>
          <w:rFonts w:ascii="宋体" w:hAnsi="宋体" w:eastAsia="宋体"/>
          <w:spacing w:val="6"/>
          <w:sz w:val="24"/>
          <w:szCs w:val="24"/>
        </w:rPr>
        <w:t>功率密度</w:t>
      </w:r>
      <w:r>
        <w:rPr>
          <w:rFonts w:hint="eastAsia" w:ascii="宋体" w:hAnsi="宋体" w:eastAsia="宋体"/>
          <w:spacing w:val="6"/>
          <w:sz w:val="24"/>
          <w:szCs w:val="24"/>
        </w:rPr>
        <w:t>或最大有效辐照度：</w:t>
      </w:r>
    </w:p>
    <w:p w14:paraId="29206009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红光≥50</w:t>
      </w:r>
      <w:r>
        <w:rPr>
          <w:rFonts w:ascii="宋体" w:hAnsi="宋体" w:eastAsia="宋体"/>
          <w:spacing w:val="6"/>
          <w:sz w:val="24"/>
          <w:szCs w:val="24"/>
        </w:rPr>
        <w:t xml:space="preserve"> mW/cm</w:t>
      </w:r>
      <w:r>
        <w:rPr>
          <w:rFonts w:ascii="宋体" w:hAnsi="宋体" w:eastAsia="宋体"/>
          <w:spacing w:val="6"/>
          <w:sz w:val="24"/>
          <w:szCs w:val="24"/>
          <w:vertAlign w:val="superscript"/>
        </w:rPr>
        <w:t>2</w:t>
      </w:r>
      <w:r>
        <w:rPr>
          <w:rFonts w:hint="eastAsia" w:ascii="宋体" w:hAnsi="宋体" w:eastAsia="宋体"/>
          <w:spacing w:val="6"/>
          <w:sz w:val="24"/>
          <w:szCs w:val="24"/>
        </w:rPr>
        <w:t>、蓝光≥30</w:t>
      </w:r>
      <w:r>
        <w:rPr>
          <w:rFonts w:ascii="宋体" w:hAnsi="宋体" w:eastAsia="宋体"/>
          <w:spacing w:val="6"/>
          <w:sz w:val="24"/>
          <w:szCs w:val="24"/>
        </w:rPr>
        <w:t xml:space="preserve"> mW/cm</w:t>
      </w:r>
      <w:r>
        <w:rPr>
          <w:rFonts w:ascii="宋体" w:hAnsi="宋体" w:eastAsia="宋体"/>
          <w:spacing w:val="6"/>
          <w:sz w:val="24"/>
          <w:szCs w:val="24"/>
          <w:vertAlign w:val="superscript"/>
        </w:rPr>
        <w:t>2</w:t>
      </w:r>
      <w:r>
        <w:rPr>
          <w:rFonts w:hint="eastAsia" w:ascii="宋体" w:hAnsi="宋体" w:eastAsia="宋体"/>
          <w:spacing w:val="6"/>
          <w:sz w:val="24"/>
          <w:szCs w:val="24"/>
        </w:rPr>
        <w:t xml:space="preserve">、黄光≥5 </w:t>
      </w:r>
      <w:r>
        <w:rPr>
          <w:rFonts w:ascii="宋体" w:hAnsi="宋体" w:eastAsia="宋体"/>
          <w:spacing w:val="6"/>
          <w:sz w:val="24"/>
          <w:szCs w:val="24"/>
        </w:rPr>
        <w:t>mW/cm</w:t>
      </w:r>
      <w:r>
        <w:rPr>
          <w:rFonts w:ascii="宋体" w:hAnsi="宋体" w:eastAsia="宋体"/>
          <w:spacing w:val="6"/>
          <w:sz w:val="24"/>
          <w:szCs w:val="24"/>
          <w:vertAlign w:val="superscript"/>
        </w:rPr>
        <w:t>2</w:t>
      </w:r>
    </w:p>
    <w:p w14:paraId="63C23D33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4</w:t>
      </w:r>
      <w:r>
        <w:rPr>
          <w:rFonts w:ascii="宋体" w:hAnsi="宋体" w:eastAsia="宋体"/>
          <w:spacing w:val="6"/>
          <w:sz w:val="24"/>
          <w:szCs w:val="24"/>
        </w:rPr>
        <w:t>、</w:t>
      </w:r>
      <w:r>
        <w:rPr>
          <w:rFonts w:hint="eastAsia" w:ascii="宋体" w:hAnsi="宋体" w:eastAsia="宋体"/>
          <w:spacing w:val="6"/>
          <w:sz w:val="24"/>
          <w:szCs w:val="24"/>
        </w:rPr>
        <w:t>光源稳定工作后，其光功率密度不稳定度应≤±</w:t>
      </w:r>
      <w:r>
        <w:rPr>
          <w:rFonts w:ascii="宋体" w:hAnsi="宋体" w:eastAsia="宋体"/>
          <w:spacing w:val="6"/>
          <w:sz w:val="24"/>
          <w:szCs w:val="24"/>
        </w:rPr>
        <w:t>1%或光功率密度变化值≤±3mW/cm</w:t>
      </w:r>
      <w:r>
        <w:rPr>
          <w:rFonts w:ascii="宋体" w:hAnsi="宋体" w:eastAsia="宋体"/>
          <w:spacing w:val="6"/>
          <w:sz w:val="24"/>
          <w:szCs w:val="24"/>
          <w:vertAlign w:val="superscript"/>
        </w:rPr>
        <w:t>2</w:t>
      </w:r>
      <w:r>
        <w:rPr>
          <w:rFonts w:hint="eastAsia" w:ascii="宋体" w:hAnsi="宋体" w:eastAsia="宋体"/>
          <w:spacing w:val="6"/>
          <w:sz w:val="24"/>
          <w:szCs w:val="24"/>
        </w:rPr>
        <w:t>；</w:t>
      </w:r>
    </w:p>
    <w:p w14:paraId="1C9CF5F8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 w:cs="微软雅黑"/>
          <w:spacing w:val="6"/>
          <w:sz w:val="24"/>
          <w:szCs w:val="24"/>
        </w:rPr>
        <w:t>5</w:t>
      </w:r>
      <w:r>
        <w:rPr>
          <w:rFonts w:ascii="宋体" w:hAnsi="宋体" w:eastAsia="宋体" w:cs="微软雅黑"/>
          <w:spacing w:val="6"/>
          <w:sz w:val="24"/>
          <w:szCs w:val="24"/>
        </w:rPr>
        <w:t>、</w:t>
      </w:r>
      <w:r>
        <w:rPr>
          <w:rFonts w:hint="eastAsia" w:ascii="宋体" w:hAnsi="宋体" w:eastAsia="宋体"/>
          <w:spacing w:val="6"/>
          <w:sz w:val="24"/>
          <w:szCs w:val="24"/>
        </w:rPr>
        <w:t>最大有效治疗面积或出光口平面面积</w:t>
      </w:r>
      <w:r>
        <w:rPr>
          <w:rFonts w:ascii="宋体" w:hAnsi="宋体" w:eastAsia="宋体"/>
          <w:spacing w:val="6"/>
          <w:sz w:val="24"/>
          <w:szCs w:val="24"/>
        </w:rPr>
        <w:t>应</w:t>
      </w:r>
      <w:r>
        <w:rPr>
          <w:rFonts w:hint="eastAsia" w:ascii="宋体" w:hAnsi="宋体" w:eastAsia="宋体"/>
          <w:spacing w:val="6"/>
          <w:sz w:val="24"/>
          <w:szCs w:val="24"/>
        </w:rPr>
        <w:t>≥1000cm</w:t>
      </w:r>
      <w:r>
        <w:rPr>
          <w:rFonts w:hint="eastAsia" w:ascii="宋体" w:hAnsi="宋体" w:eastAsia="宋体"/>
          <w:spacing w:val="6"/>
          <w:sz w:val="24"/>
          <w:szCs w:val="24"/>
          <w:vertAlign w:val="superscript"/>
        </w:rPr>
        <w:t>2</w:t>
      </w:r>
    </w:p>
    <w:p w14:paraId="68D07976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6</w:t>
      </w:r>
      <w:r>
        <w:rPr>
          <w:rFonts w:ascii="宋体" w:hAnsi="宋体" w:eastAsia="宋体"/>
          <w:spacing w:val="6"/>
          <w:sz w:val="24"/>
          <w:szCs w:val="24"/>
        </w:rPr>
        <w:t>、</w:t>
      </w:r>
      <w:r>
        <w:rPr>
          <w:rFonts w:hint="eastAsia" w:ascii="宋体" w:hAnsi="宋体" w:eastAsia="宋体" w:cs="微软雅黑"/>
          <w:spacing w:val="6"/>
          <w:sz w:val="24"/>
          <w:szCs w:val="24"/>
        </w:rPr>
        <w:t>■具备</w:t>
      </w:r>
      <w:r>
        <w:rPr>
          <w:rFonts w:hint="eastAsia" w:ascii="宋体" w:hAnsi="宋体" w:eastAsia="宋体"/>
          <w:spacing w:val="6"/>
          <w:sz w:val="24"/>
          <w:szCs w:val="24"/>
        </w:rPr>
        <w:t>LED固态光源</w:t>
      </w:r>
    </w:p>
    <w:p w14:paraId="41F72D30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7</w:t>
      </w:r>
      <w:r>
        <w:rPr>
          <w:rFonts w:ascii="宋体" w:hAnsi="宋体" w:eastAsia="宋体"/>
          <w:spacing w:val="6"/>
          <w:sz w:val="24"/>
          <w:szCs w:val="24"/>
        </w:rPr>
        <w:t>、</w:t>
      </w:r>
      <w:r>
        <w:rPr>
          <w:rFonts w:hint="eastAsia" w:ascii="宋体" w:hAnsi="宋体" w:eastAsia="宋体"/>
          <w:spacing w:val="6"/>
          <w:sz w:val="24"/>
          <w:szCs w:val="24"/>
        </w:rPr>
        <w:t>定时范围：0～90min 连续可调</w:t>
      </w:r>
    </w:p>
    <w:p w14:paraId="792158F1">
      <w:pPr>
        <w:spacing w:line="440" w:lineRule="exact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 w:cs="微软雅黑"/>
          <w:spacing w:val="6"/>
          <w:sz w:val="24"/>
          <w:szCs w:val="24"/>
        </w:rPr>
        <w:t>8</w:t>
      </w:r>
      <w:r>
        <w:rPr>
          <w:rFonts w:ascii="宋体" w:hAnsi="宋体" w:eastAsia="宋体" w:cs="微软雅黑"/>
          <w:spacing w:val="6"/>
          <w:sz w:val="24"/>
          <w:szCs w:val="24"/>
        </w:rPr>
        <w:t>、</w:t>
      </w:r>
      <w:r>
        <w:rPr>
          <w:rFonts w:hint="eastAsia" w:ascii="宋体" w:hAnsi="宋体" w:eastAsia="宋体" w:cs="微软雅黑"/>
          <w:spacing w:val="6"/>
          <w:sz w:val="24"/>
          <w:szCs w:val="24"/>
        </w:rPr>
        <w:t>■</w:t>
      </w:r>
      <w:r>
        <w:rPr>
          <w:rFonts w:ascii="宋体" w:hAnsi="宋体" w:eastAsia="宋体"/>
          <w:spacing w:val="6"/>
          <w:sz w:val="24"/>
          <w:szCs w:val="24"/>
        </w:rPr>
        <w:t>应具有过温保护功能，在检测到照射区域皮肤温度超过4</w:t>
      </w:r>
      <w:r>
        <w:rPr>
          <w:rFonts w:hint="eastAsia" w:ascii="宋体" w:hAnsi="宋体" w:eastAsia="宋体"/>
          <w:spacing w:val="6"/>
          <w:sz w:val="24"/>
          <w:szCs w:val="24"/>
        </w:rPr>
        <w:t>1</w:t>
      </w:r>
      <w:r>
        <w:rPr>
          <w:rFonts w:ascii="宋体" w:hAnsi="宋体" w:eastAsia="宋体"/>
          <w:spacing w:val="6"/>
          <w:sz w:val="24"/>
          <w:szCs w:val="24"/>
        </w:rPr>
        <w:t>℃时，应能够停止光照射治疗</w:t>
      </w:r>
      <w:r>
        <w:rPr>
          <w:rFonts w:hint="eastAsia" w:ascii="宋体" w:hAnsi="宋体" w:eastAsia="宋体"/>
          <w:spacing w:val="6"/>
          <w:sz w:val="24"/>
          <w:szCs w:val="24"/>
        </w:rPr>
        <w:t>；</w:t>
      </w:r>
    </w:p>
    <w:p w14:paraId="0D3F2844">
      <w:pPr>
        <w:pStyle w:val="9"/>
        <w:spacing w:line="440" w:lineRule="exact"/>
        <w:ind w:firstLine="0" w:firstLineChars="0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9、治疗模式档位1-5档可调。</w:t>
      </w:r>
    </w:p>
    <w:p w14:paraId="5FAF5B02">
      <w:pPr>
        <w:pStyle w:val="9"/>
        <w:spacing w:line="440" w:lineRule="exact"/>
        <w:ind w:firstLine="0" w:firstLineChars="0"/>
        <w:rPr>
          <w:rFonts w:hint="eastAsia" w:ascii="宋体" w:hAnsi="宋体" w:eastAsia="宋体"/>
          <w:spacing w:val="6"/>
          <w:sz w:val="24"/>
          <w:szCs w:val="24"/>
        </w:rPr>
      </w:pPr>
      <w:r>
        <w:rPr>
          <w:rFonts w:hint="eastAsia" w:ascii="宋体" w:hAnsi="宋体" w:eastAsia="宋体"/>
          <w:spacing w:val="6"/>
          <w:sz w:val="24"/>
          <w:szCs w:val="24"/>
        </w:rPr>
        <w:t>10、在正常工作状态下，产生的噪声不得超过60dB。</w:t>
      </w:r>
    </w:p>
    <w:p w14:paraId="00271CA5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  <w:bookmarkStart w:id="0" w:name="_GoBack"/>
      <w:bookmarkEnd w:id="0"/>
    </w:p>
    <w:p w14:paraId="68CB8977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47F45343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22F750CD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2A780F84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7970AADB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23D25CC4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4C2014A3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630887DF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244AF800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349B7274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1103E169">
      <w:pPr>
        <w:pStyle w:val="9"/>
        <w:spacing w:line="440" w:lineRule="exact"/>
        <w:ind w:firstLine="0" w:firstLineChars="0"/>
        <w:rPr>
          <w:rFonts w:ascii="宋体" w:hAnsi="宋体" w:eastAsia="宋体"/>
          <w:spacing w:val="6"/>
          <w:sz w:val="24"/>
          <w:szCs w:val="24"/>
        </w:rPr>
      </w:pPr>
    </w:p>
    <w:p w14:paraId="7B1BB52F">
      <w:pPr>
        <w:spacing w:line="460" w:lineRule="exact"/>
        <w:rPr>
          <w:rFonts w:hint="eastAsia" w:ascii="宋体" w:hAnsi="宋体" w:eastAsia="宋体"/>
          <w:b/>
          <w:bCs/>
          <w:spacing w:val="14"/>
          <w:sz w:val="24"/>
          <w:szCs w:val="24"/>
        </w:rPr>
      </w:pPr>
      <w:r>
        <w:rPr>
          <w:rFonts w:hint="eastAsia" w:ascii="宋体" w:hAnsi="宋体" w:eastAsia="宋体"/>
          <w:b/>
          <w:bCs/>
          <w:spacing w:val="14"/>
          <w:sz w:val="24"/>
          <w:szCs w:val="24"/>
        </w:rPr>
        <w:t>二、商务部分</w:t>
      </w:r>
    </w:p>
    <w:p w14:paraId="7102CF7F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1、有效的Ⅱ或Ⅲ类医疗器械注册证。</w:t>
      </w:r>
    </w:p>
    <w:p w14:paraId="13DF2C0F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2、所有货物（包括零部件）须为全新的、未使用过的原装正品。</w:t>
      </w:r>
    </w:p>
    <w:p w14:paraId="73A9E4BB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3、设备验收合格后，整机原厂质保3年，所有质保费用均已包含在投标总报价中。</w:t>
      </w:r>
    </w:p>
    <w:p w14:paraId="57B8DD5B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4、所提供设备为近期生产（以合同签订日为准，6个月内所生产的机型）。</w:t>
      </w:r>
    </w:p>
    <w:p w14:paraId="6A10DCF9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5、提供每年2次主动上门维护保养服务，并出具工单。</w:t>
      </w:r>
    </w:p>
    <w:p w14:paraId="23FA3265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6、培训：中标人根据采购人要求，提供不少于2次技术培训，保证工作人员正常操作设备各种功能。</w:t>
      </w:r>
    </w:p>
    <w:p w14:paraId="34E355F1">
      <w:pPr>
        <w:spacing w:line="460" w:lineRule="exact"/>
        <w:rPr>
          <w:rFonts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7、售后服务响应时间：</w:t>
      </w:r>
    </w:p>
    <w:p w14:paraId="5F7F478B">
      <w:pPr>
        <w:spacing w:line="460" w:lineRule="exact"/>
        <w:ind w:firstLine="536" w:firstLineChars="200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如货物出现质量问题，中标人须1小时内响应，电话响应无法解决，中标人必须在接报修电话 24 小时内到达现场并在48小时内解决问题。如不能解决的，中标人需提供备品备件供采购人使用。质保期内如货物出现质量问题，中标人负责修复，对于无法修复的情况，中标人负责更换。</w:t>
      </w:r>
    </w:p>
    <w:p w14:paraId="30E88720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 xml:space="preserve">8、供货期：自合同签订之日起30日内供货并安装调试完毕。 </w:t>
      </w:r>
    </w:p>
    <w:p w14:paraId="6394921E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9、供货地点：马鞍山市人民医院。</w:t>
      </w:r>
    </w:p>
    <w:p w14:paraId="55B66B47">
      <w:pPr>
        <w:spacing w:line="460" w:lineRule="exact"/>
        <w:rPr>
          <w:rFonts w:hint="eastAsia" w:ascii="宋体" w:hAnsi="宋体" w:eastAsia="宋体"/>
          <w:spacing w:val="14"/>
          <w:sz w:val="24"/>
          <w:szCs w:val="24"/>
        </w:rPr>
      </w:pPr>
      <w:r>
        <w:rPr>
          <w:rFonts w:hint="eastAsia" w:ascii="宋体" w:hAnsi="宋体" w:eastAsia="宋体"/>
          <w:spacing w:val="14"/>
          <w:sz w:val="24"/>
          <w:szCs w:val="24"/>
        </w:rPr>
        <w:t>10、支付方式：项目供货并安装调试完毕自甲方验收合格后，甲方向乙方支付至合同金额的100%。</w:t>
      </w:r>
    </w:p>
    <w:p w14:paraId="523E6F97">
      <w:pPr>
        <w:pStyle w:val="2"/>
        <w:spacing w:line="460" w:lineRule="exact"/>
        <w:ind w:firstLine="536"/>
        <w:rPr>
          <w:rFonts w:hint="eastAsia" w:ascii="宋体" w:hAnsi="宋体"/>
          <w:spacing w:val="14"/>
          <w:sz w:val="24"/>
          <w:szCs w:val="24"/>
        </w:rPr>
      </w:pPr>
    </w:p>
    <w:p w14:paraId="46B3CF12">
      <w:pPr>
        <w:pStyle w:val="9"/>
        <w:spacing w:line="440" w:lineRule="exact"/>
        <w:ind w:firstLine="0" w:firstLineChars="0"/>
        <w:rPr>
          <w:rFonts w:hint="eastAsia" w:ascii="宋体" w:hAnsi="宋体" w:eastAsia="宋体"/>
          <w:spacing w:val="6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3252B"/>
    <w:multiLevelType w:val="singleLevel"/>
    <w:tmpl w:val="40A3252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C49"/>
    <w:rsid w:val="00036C39"/>
    <w:rsid w:val="000B4208"/>
    <w:rsid w:val="001870F1"/>
    <w:rsid w:val="00231A3F"/>
    <w:rsid w:val="002904B1"/>
    <w:rsid w:val="00315C7D"/>
    <w:rsid w:val="003221BE"/>
    <w:rsid w:val="00342C19"/>
    <w:rsid w:val="003C4E58"/>
    <w:rsid w:val="00404788"/>
    <w:rsid w:val="004B1F4A"/>
    <w:rsid w:val="00501AAD"/>
    <w:rsid w:val="005144AF"/>
    <w:rsid w:val="006147DD"/>
    <w:rsid w:val="00651A5D"/>
    <w:rsid w:val="00670438"/>
    <w:rsid w:val="006A4F43"/>
    <w:rsid w:val="006A71B6"/>
    <w:rsid w:val="0077278D"/>
    <w:rsid w:val="007844AB"/>
    <w:rsid w:val="008A4021"/>
    <w:rsid w:val="008D196A"/>
    <w:rsid w:val="0094725F"/>
    <w:rsid w:val="0099488B"/>
    <w:rsid w:val="00A10438"/>
    <w:rsid w:val="00A2025B"/>
    <w:rsid w:val="00AF33F6"/>
    <w:rsid w:val="00BB068C"/>
    <w:rsid w:val="00BC1FDD"/>
    <w:rsid w:val="00C2007A"/>
    <w:rsid w:val="00CE0C49"/>
    <w:rsid w:val="00DA7773"/>
    <w:rsid w:val="00DD6505"/>
    <w:rsid w:val="00E375A8"/>
    <w:rsid w:val="00E935F2"/>
    <w:rsid w:val="00EC3BCC"/>
    <w:rsid w:val="00F47F2D"/>
    <w:rsid w:val="00F655AE"/>
    <w:rsid w:val="054512BB"/>
    <w:rsid w:val="06675F52"/>
    <w:rsid w:val="3D0C2D17"/>
    <w:rsid w:val="41075628"/>
    <w:rsid w:val="4AC12963"/>
    <w:rsid w:val="68DD5B96"/>
    <w:rsid w:val="9DFD6730"/>
    <w:rsid w:val="D63D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  <w:rPr>
      <w:rFonts w:ascii="Calibri" w:hAnsi="Calibri" w:eastAsia="宋体" w:cs="宋体"/>
      <w:kern w:val="0"/>
      <w:sz w:val="20"/>
      <w:szCs w:val="20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正文文本 字符"/>
    <w:basedOn w:val="7"/>
    <w:link w:val="2"/>
    <w:uiPriority w:val="0"/>
    <w:rPr>
      <w:rFonts w:ascii="Calibri" w:hAnsi="Calibri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698</Words>
  <Characters>774</Characters>
  <Lines>5</Lines>
  <Paragraphs>1</Paragraphs>
  <TotalTime>56</TotalTime>
  <ScaleCrop>false</ScaleCrop>
  <LinksUpToDate>false</LinksUpToDate>
  <CharactersWithSpaces>781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2023-12-20T15:15:00Z</dcterms:created>
  <dc:creator>治平 谭</dc:creator>
  <cp:lastModifiedBy>高杨</cp:lastModifiedBy>
  <cp:lastPrinted>2025-06-18T02:13:44Z</cp:lastPrinted>
  <dcterms:modified xsi:type="dcterms:W3CDTF">2025-06-18T02:34:58Z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eyJoZGlkIjoiMjU5NzRhZDBkZDkwNDZlZDExYzFkOTc4ZWIwMjc2MDAiLCJ1c2VySWQiOiI0OTQ3NTI0ODcifQ==</vt:lpwstr>
  </property>
  <property fmtid="{D5CDD505-2E9C-101B-9397-08002B2CF9AE}" pid="4" name="ICV">
    <vt:lpwstr>053945E1C6984BE99CBFB459EF3F45B1_13</vt:lpwstr>
  </property>
</Properties>
</file>