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BDB53E">
      <w:pPr>
        <w:jc w:val="center"/>
        <w:rPr>
          <w:rFonts w:hint="eastAsia" w:ascii="黑体" w:hAnsi="黑体" w:eastAsia="黑体" w:cs="黑体"/>
          <w:sz w:val="32"/>
          <w:szCs w:val="32"/>
          <w:lang w:eastAsia="zh-CN"/>
        </w:rPr>
      </w:pPr>
      <w:r>
        <w:rPr>
          <w:rFonts w:hint="eastAsia" w:ascii="黑体" w:hAnsi="黑体" w:eastAsia="黑体" w:cs="黑体"/>
          <w:sz w:val="32"/>
          <w:szCs w:val="32"/>
          <w:lang w:eastAsia="zh-CN"/>
        </w:rPr>
        <w:t>健康管理中心体检报告寄递服务采购项目</w:t>
      </w:r>
    </w:p>
    <w:p w14:paraId="09B975D0">
      <w:pPr>
        <w:jc w:val="both"/>
        <w:rPr>
          <w:rFonts w:hint="eastAsia" w:ascii="黑体" w:hAnsi="黑体" w:eastAsia="黑体" w:cs="黑体"/>
          <w:sz w:val="32"/>
          <w:szCs w:val="32"/>
          <w:lang w:eastAsia="zh-CN"/>
        </w:rPr>
      </w:pPr>
    </w:p>
    <w:p w14:paraId="7277BC04">
      <w:pPr>
        <w:jc w:val="both"/>
        <w:rPr>
          <w:rFonts w:hint="eastAsia" w:asciiTheme="minorEastAsia" w:hAnsiTheme="minorEastAsia" w:cstheme="minorEastAsia"/>
          <w:sz w:val="28"/>
          <w:szCs w:val="28"/>
          <w:lang w:eastAsia="zh-CN"/>
        </w:rPr>
      </w:pPr>
      <w:r>
        <w:rPr>
          <w:rFonts w:hint="eastAsia" w:asciiTheme="minorEastAsia" w:hAnsiTheme="minorEastAsia" w:eastAsiaTheme="minorEastAsia" w:cstheme="minorEastAsia"/>
          <w:sz w:val="28"/>
          <w:szCs w:val="28"/>
          <w:lang w:eastAsia="zh-CN"/>
        </w:rPr>
        <w:t>项目</w:t>
      </w:r>
      <w:r>
        <w:rPr>
          <w:rFonts w:hint="eastAsia" w:asciiTheme="minorEastAsia" w:hAnsiTheme="minorEastAsia" w:cstheme="minorEastAsia"/>
          <w:sz w:val="28"/>
          <w:szCs w:val="28"/>
          <w:lang w:eastAsia="zh-CN"/>
        </w:rPr>
        <w:t>名称</w:t>
      </w:r>
      <w:r>
        <w:rPr>
          <w:rFonts w:hint="eastAsia" w:asciiTheme="minorEastAsia" w:hAnsiTheme="minorEastAsia" w:eastAsiaTheme="minorEastAsia" w:cstheme="minorEastAsia"/>
          <w:sz w:val="28"/>
          <w:szCs w:val="28"/>
          <w:lang w:eastAsia="zh-CN"/>
        </w:rPr>
        <w:t>：</w:t>
      </w:r>
      <w:r>
        <w:rPr>
          <w:rFonts w:hint="eastAsia" w:asciiTheme="minorEastAsia" w:hAnsiTheme="minorEastAsia" w:cstheme="minorEastAsia"/>
          <w:sz w:val="28"/>
          <w:szCs w:val="28"/>
          <w:lang w:eastAsia="zh-CN"/>
        </w:rPr>
        <w:t>马鞍山市人民医院</w:t>
      </w:r>
      <w:bookmarkStart w:id="0" w:name="OLE_LINK1"/>
      <w:r>
        <w:rPr>
          <w:rFonts w:hint="eastAsia" w:asciiTheme="minorEastAsia" w:hAnsiTheme="minorEastAsia" w:cstheme="minorEastAsia"/>
          <w:sz w:val="28"/>
          <w:szCs w:val="28"/>
          <w:lang w:eastAsia="zh-CN"/>
        </w:rPr>
        <w:t>健康管理中心体检报告寄递</w:t>
      </w:r>
      <w:bookmarkEnd w:id="0"/>
      <w:r>
        <w:rPr>
          <w:rFonts w:hint="eastAsia" w:asciiTheme="minorEastAsia" w:hAnsiTheme="minorEastAsia" w:cstheme="minorEastAsia"/>
          <w:sz w:val="28"/>
          <w:szCs w:val="28"/>
          <w:lang w:eastAsia="zh-CN"/>
        </w:rPr>
        <w:t>服务</w:t>
      </w:r>
    </w:p>
    <w:p w14:paraId="6184B53A">
      <w:pPr>
        <w:jc w:val="both"/>
        <w:rPr>
          <w:rFonts w:hint="eastAsia" w:asciiTheme="minorEastAsia" w:hAnsiTheme="minorEastAsia" w:cstheme="minorEastAsia"/>
          <w:sz w:val="28"/>
          <w:szCs w:val="28"/>
          <w:lang w:eastAsia="zh-CN"/>
        </w:rPr>
      </w:pPr>
      <w:r>
        <w:rPr>
          <w:rFonts w:hint="eastAsia" w:asciiTheme="minorEastAsia" w:hAnsiTheme="minorEastAsia" w:cstheme="minorEastAsia"/>
          <w:sz w:val="28"/>
          <w:szCs w:val="28"/>
          <w:lang w:eastAsia="zh-CN"/>
        </w:rPr>
        <w:t>采购需求：健康管理中心体检报告寄递</w:t>
      </w:r>
    </w:p>
    <w:p w14:paraId="6389C8BF">
      <w:pPr>
        <w:jc w:val="both"/>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eastAsia="zh-CN"/>
        </w:rPr>
        <w:t>预算：</w:t>
      </w:r>
      <w:r>
        <w:rPr>
          <w:rFonts w:hint="eastAsia" w:asciiTheme="minorEastAsia" w:hAnsiTheme="minorEastAsia" w:cstheme="minorEastAsia"/>
          <w:sz w:val="28"/>
          <w:szCs w:val="28"/>
          <w:lang w:val="en-US" w:eastAsia="zh-CN"/>
        </w:rPr>
        <w:t>2.8万元/年</w:t>
      </w:r>
    </w:p>
    <w:p w14:paraId="2F29BE4F">
      <w:pPr>
        <w:jc w:val="both"/>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服务期：3年，合同一年一签，考核合格后续签下一年。</w:t>
      </w:r>
    </w:p>
    <w:p w14:paraId="2409D7CE">
      <w:pPr>
        <w:jc w:val="both"/>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服务地点：马鞍山市人民医院</w:t>
      </w:r>
    </w:p>
    <w:p w14:paraId="02112CC6">
      <w:pPr>
        <w:jc w:val="both"/>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供应商资格：具有行政主管部门颁发的快递业务经营许可证且证件在有效期内。</w:t>
      </w:r>
    </w:p>
    <w:p w14:paraId="10F0C1A2">
      <w:pPr>
        <w:jc w:val="both"/>
        <w:rPr>
          <w:rFonts w:hint="default" w:asciiTheme="minorEastAsia" w:hAnsiTheme="minorEastAsia" w:cstheme="minorEastAsia"/>
          <w:sz w:val="28"/>
          <w:szCs w:val="28"/>
          <w:lang w:val="en-US" w:eastAsia="zh-CN"/>
        </w:rPr>
      </w:pPr>
      <w:r>
        <w:rPr>
          <w:rFonts w:hint="default" w:asciiTheme="minorEastAsia" w:hAnsiTheme="minorEastAsia" w:cstheme="minorEastAsia"/>
          <w:sz w:val="28"/>
          <w:szCs w:val="28"/>
          <w:lang w:val="en-US" w:eastAsia="zh-CN"/>
        </w:rPr>
        <w:t>服务内容：</w:t>
      </w:r>
    </w:p>
    <w:p w14:paraId="0C5E775B">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Theme="minorEastAsia" w:hAnsiTheme="minorEastAsia" w:cstheme="minorEastAsia"/>
          <w:sz w:val="28"/>
          <w:szCs w:val="28"/>
          <w:lang w:val="en-US" w:eastAsia="zh-CN"/>
        </w:rPr>
      </w:pPr>
      <w:r>
        <w:rPr>
          <w:rFonts w:hint="default" w:asciiTheme="minorEastAsia" w:hAnsiTheme="minorEastAsia" w:cstheme="minorEastAsia"/>
          <w:sz w:val="28"/>
          <w:szCs w:val="28"/>
          <w:lang w:val="en-US" w:eastAsia="zh-CN"/>
        </w:rPr>
        <w:t>为</w:t>
      </w:r>
      <w:r>
        <w:rPr>
          <w:rFonts w:hint="eastAsia" w:asciiTheme="minorEastAsia" w:hAnsiTheme="minorEastAsia" w:cstheme="minorEastAsia"/>
          <w:sz w:val="28"/>
          <w:szCs w:val="28"/>
          <w:lang w:val="en-US" w:eastAsia="zh-CN"/>
        </w:rPr>
        <w:t>我院健康管理中心</w:t>
      </w:r>
      <w:r>
        <w:rPr>
          <w:rFonts w:hint="default" w:asciiTheme="minorEastAsia" w:hAnsiTheme="minorEastAsia" w:cstheme="minorEastAsia"/>
          <w:sz w:val="28"/>
          <w:szCs w:val="28"/>
          <w:lang w:val="en-US" w:eastAsia="zh-CN"/>
        </w:rPr>
        <w:t>提供体检报告邮寄服务，在报告出具后通过快递方式送达指定</w:t>
      </w:r>
      <w:r>
        <w:rPr>
          <w:rFonts w:hint="eastAsia" w:asciiTheme="minorEastAsia" w:hAnsiTheme="minorEastAsia" w:cstheme="minorEastAsia"/>
          <w:sz w:val="28"/>
          <w:szCs w:val="28"/>
          <w:lang w:val="en-US" w:eastAsia="zh-CN"/>
        </w:rPr>
        <w:t>地点</w:t>
      </w:r>
      <w:r>
        <w:rPr>
          <w:rFonts w:hint="default" w:asciiTheme="minorEastAsia" w:hAnsiTheme="minorEastAsia" w:cstheme="minorEastAsia"/>
          <w:sz w:val="28"/>
          <w:szCs w:val="28"/>
          <w:lang w:val="en-US" w:eastAsia="zh-CN"/>
        </w:rPr>
        <w:t>，确保报告安全、准确、及时送达</w:t>
      </w:r>
      <w:r>
        <w:rPr>
          <w:rFonts w:hint="eastAsia" w:asciiTheme="minorEastAsia" w:hAnsiTheme="minorEastAsia" w:cstheme="minorEastAsia"/>
          <w:sz w:val="28"/>
          <w:szCs w:val="28"/>
          <w:lang w:val="en-US" w:eastAsia="zh-CN"/>
        </w:rPr>
        <w:t>。</w:t>
      </w:r>
    </w:p>
    <w:p w14:paraId="2B61DE17">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default"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①日常收件安排：安排专人于每周一至周五下午到健康管理中心收取待邮寄的体检报告，确保当日收件当日寄出。</w:t>
      </w:r>
    </w:p>
    <w:p w14:paraId="07D95889">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②急件处理：如遇紧急需求（如加急报告），需在接到通知后2小时内响应，并优先安排寄送，确保快速送达。</w:t>
      </w:r>
    </w:p>
    <w:p w14:paraId="56340974">
      <w:pPr>
        <w:keepNext w:val="0"/>
        <w:keepLines w:val="0"/>
        <w:pageBreakBefore w:val="0"/>
        <w:widowControl w:val="0"/>
        <w:kinsoku/>
        <w:wordWrap/>
        <w:overflowPunct/>
        <w:topLinePunct w:val="0"/>
        <w:autoSpaceDE/>
        <w:autoSpaceDN/>
        <w:bidi w:val="0"/>
        <w:adjustRightInd/>
        <w:snapToGrid/>
        <w:ind w:firstLine="562" w:firstLineChars="200"/>
        <w:jc w:val="both"/>
        <w:textAlignment w:val="auto"/>
        <w:rPr>
          <w:rFonts w:hint="eastAsia" w:asciiTheme="minorEastAsia" w:hAnsiTheme="minorEastAsia" w:cstheme="minorEastAsia"/>
          <w:sz w:val="28"/>
          <w:szCs w:val="28"/>
          <w:lang w:val="en-US" w:eastAsia="zh-CN"/>
        </w:rPr>
      </w:pPr>
      <w:r>
        <w:rPr>
          <w:rFonts w:hint="eastAsia" w:asciiTheme="minorEastAsia" w:hAnsiTheme="minorEastAsia" w:cstheme="minorEastAsia"/>
          <w:b/>
          <w:bCs/>
          <w:sz w:val="28"/>
          <w:szCs w:val="28"/>
          <w:lang w:val="en-US" w:eastAsia="zh-CN"/>
        </w:rPr>
        <w:t>付款方式：月结</w:t>
      </w:r>
      <w:r>
        <w:rPr>
          <w:rFonts w:hint="eastAsia" w:asciiTheme="minorEastAsia" w:hAnsiTheme="minorEastAsia" w:cstheme="minorEastAsia"/>
          <w:sz w:val="28"/>
          <w:szCs w:val="28"/>
          <w:lang w:val="en-US" w:eastAsia="zh-CN"/>
        </w:rPr>
        <w:t>。</w:t>
      </w:r>
    </w:p>
    <w:p w14:paraId="2F5831DD">
      <w:pPr>
        <w:keepNext w:val="0"/>
        <w:keepLines w:val="0"/>
        <w:pageBreakBefore w:val="0"/>
        <w:widowControl w:val="0"/>
        <w:kinsoku/>
        <w:wordWrap/>
        <w:overflowPunct/>
        <w:topLinePunct w:val="0"/>
        <w:autoSpaceDE/>
        <w:autoSpaceDN/>
        <w:bidi w:val="0"/>
        <w:adjustRightInd/>
        <w:snapToGrid/>
        <w:jc w:val="both"/>
        <w:textAlignment w:val="auto"/>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报价费用</w:t>
      </w:r>
    </w:p>
    <w:p w14:paraId="1F5B85EB">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报价人应承担其准备与参加报价所涉及的一切费用。在任何情况下采购人不承担任何费用。</w:t>
      </w:r>
    </w:p>
    <w:p w14:paraId="0621F3DE">
      <w:pPr>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br w:type="page"/>
      </w:r>
    </w:p>
    <w:p w14:paraId="241737C3">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控制价</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4"/>
        <w:gridCol w:w="2050"/>
        <w:gridCol w:w="2278"/>
      </w:tblGrid>
      <w:tr w14:paraId="75062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4" w:type="dxa"/>
          </w:tcPr>
          <w:p w14:paraId="315894F2">
            <w:pPr>
              <w:jc w:val="both"/>
              <w:rPr>
                <w:rFonts w:hint="eastAsia" w:asciiTheme="minorEastAsia" w:hAnsiTheme="minorEastAsia" w:cstheme="minorEastAsia"/>
                <w:sz w:val="28"/>
                <w:szCs w:val="28"/>
                <w:vertAlign w:val="baseline"/>
                <w:lang w:val="en-US" w:eastAsia="zh-CN"/>
              </w:rPr>
            </w:pPr>
            <w:r>
              <w:rPr>
                <w:rFonts w:hint="eastAsia" w:asciiTheme="minorEastAsia" w:hAnsiTheme="minorEastAsia" w:cstheme="minorEastAsia"/>
                <w:sz w:val="28"/>
                <w:szCs w:val="28"/>
                <w:vertAlign w:val="baseline"/>
                <w:lang w:val="en-US" w:eastAsia="zh-CN"/>
              </w:rPr>
              <w:t>寄递区域</w:t>
            </w:r>
          </w:p>
        </w:tc>
        <w:tc>
          <w:tcPr>
            <w:tcW w:w="2050" w:type="dxa"/>
          </w:tcPr>
          <w:p w14:paraId="0FF29769">
            <w:pPr>
              <w:jc w:val="both"/>
              <w:rPr>
                <w:rFonts w:hint="eastAsia" w:asciiTheme="minorEastAsia" w:hAnsiTheme="minorEastAsia" w:cstheme="minorEastAsia"/>
                <w:sz w:val="28"/>
                <w:szCs w:val="28"/>
                <w:vertAlign w:val="baseline"/>
                <w:lang w:val="en-US" w:eastAsia="zh-CN"/>
              </w:rPr>
            </w:pPr>
            <w:r>
              <w:rPr>
                <w:rFonts w:hint="eastAsia" w:asciiTheme="minorEastAsia" w:hAnsiTheme="minorEastAsia" w:cstheme="minorEastAsia"/>
                <w:sz w:val="28"/>
                <w:szCs w:val="28"/>
                <w:vertAlign w:val="baseline"/>
                <w:lang w:val="en-US" w:eastAsia="zh-CN"/>
              </w:rPr>
              <w:t>首重（1kg/元）</w:t>
            </w:r>
          </w:p>
        </w:tc>
        <w:tc>
          <w:tcPr>
            <w:tcW w:w="2278" w:type="dxa"/>
          </w:tcPr>
          <w:p w14:paraId="0F07B3AC">
            <w:pPr>
              <w:jc w:val="both"/>
              <w:rPr>
                <w:rFonts w:hint="default" w:asciiTheme="minorEastAsia" w:hAnsiTheme="minorEastAsia" w:cstheme="minorEastAsia"/>
                <w:sz w:val="28"/>
                <w:szCs w:val="28"/>
                <w:vertAlign w:val="baseline"/>
                <w:lang w:val="en-US" w:eastAsia="zh-CN"/>
              </w:rPr>
            </w:pPr>
            <w:r>
              <w:rPr>
                <w:rFonts w:hint="eastAsia" w:asciiTheme="minorEastAsia" w:hAnsiTheme="minorEastAsia" w:cstheme="minorEastAsia"/>
                <w:sz w:val="28"/>
                <w:szCs w:val="28"/>
                <w:vertAlign w:val="baseline"/>
                <w:lang w:val="en-US" w:eastAsia="zh-CN"/>
              </w:rPr>
              <w:t>续重(0.5kg/元)</w:t>
            </w:r>
          </w:p>
        </w:tc>
      </w:tr>
      <w:tr w14:paraId="3EBBD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4" w:type="dxa"/>
          </w:tcPr>
          <w:p w14:paraId="30C342EF">
            <w:pPr>
              <w:jc w:val="both"/>
              <w:rPr>
                <w:rFonts w:hint="eastAsia" w:asciiTheme="minorEastAsia" w:hAnsiTheme="minorEastAsia" w:cstheme="minorEastAsia"/>
                <w:sz w:val="28"/>
                <w:szCs w:val="28"/>
                <w:vertAlign w:val="baseline"/>
                <w:lang w:val="en-US" w:eastAsia="zh-CN"/>
              </w:rPr>
            </w:pPr>
            <w:r>
              <w:rPr>
                <w:rFonts w:hint="eastAsia" w:asciiTheme="minorEastAsia" w:hAnsiTheme="minorEastAsia" w:cstheme="minorEastAsia"/>
                <w:sz w:val="28"/>
                <w:szCs w:val="28"/>
                <w:vertAlign w:val="baseline"/>
                <w:lang w:val="en-US" w:eastAsia="zh-CN"/>
              </w:rPr>
              <w:t>安徽、江苏、上海、浙江</w:t>
            </w:r>
          </w:p>
        </w:tc>
        <w:tc>
          <w:tcPr>
            <w:tcW w:w="2050" w:type="dxa"/>
          </w:tcPr>
          <w:p w14:paraId="5DFBA06A">
            <w:pPr>
              <w:jc w:val="center"/>
              <w:rPr>
                <w:rFonts w:hint="default" w:asciiTheme="minorEastAsia" w:hAnsiTheme="minorEastAsia" w:cstheme="minorEastAsia"/>
                <w:sz w:val="28"/>
                <w:szCs w:val="28"/>
                <w:vertAlign w:val="baseline"/>
                <w:lang w:val="en-US" w:eastAsia="zh-CN"/>
              </w:rPr>
            </w:pPr>
            <w:r>
              <w:rPr>
                <w:rFonts w:hint="eastAsia" w:asciiTheme="minorEastAsia" w:hAnsiTheme="minorEastAsia" w:cstheme="minorEastAsia"/>
                <w:sz w:val="28"/>
                <w:szCs w:val="28"/>
                <w:vertAlign w:val="baseline"/>
                <w:lang w:val="en-US" w:eastAsia="zh-CN"/>
              </w:rPr>
              <w:t>12</w:t>
            </w:r>
          </w:p>
        </w:tc>
        <w:tc>
          <w:tcPr>
            <w:tcW w:w="2278" w:type="dxa"/>
          </w:tcPr>
          <w:p w14:paraId="0B3A657B">
            <w:pPr>
              <w:jc w:val="center"/>
              <w:rPr>
                <w:rFonts w:hint="default" w:asciiTheme="minorEastAsia" w:hAnsiTheme="minorEastAsia" w:cstheme="minorEastAsia"/>
                <w:sz w:val="28"/>
                <w:szCs w:val="28"/>
                <w:vertAlign w:val="baseline"/>
                <w:lang w:val="en-US" w:eastAsia="zh-CN"/>
              </w:rPr>
            </w:pPr>
            <w:r>
              <w:rPr>
                <w:rFonts w:hint="eastAsia" w:asciiTheme="minorEastAsia" w:hAnsiTheme="minorEastAsia" w:cstheme="minorEastAsia"/>
                <w:sz w:val="28"/>
                <w:szCs w:val="28"/>
                <w:vertAlign w:val="baseline"/>
                <w:lang w:val="en-US" w:eastAsia="zh-CN"/>
              </w:rPr>
              <w:t>1</w:t>
            </w:r>
          </w:p>
        </w:tc>
      </w:tr>
      <w:tr w14:paraId="0F199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4" w:type="dxa"/>
          </w:tcPr>
          <w:p w14:paraId="31CB01BB">
            <w:pPr>
              <w:jc w:val="both"/>
              <w:rPr>
                <w:rFonts w:hint="eastAsia" w:asciiTheme="minorEastAsia" w:hAnsiTheme="minorEastAsia" w:cstheme="minorEastAsia"/>
                <w:sz w:val="28"/>
                <w:szCs w:val="28"/>
                <w:vertAlign w:val="baseline"/>
                <w:lang w:val="en-US" w:eastAsia="zh-CN"/>
              </w:rPr>
            </w:pPr>
            <w:r>
              <w:rPr>
                <w:rFonts w:hint="eastAsia" w:asciiTheme="minorEastAsia" w:hAnsiTheme="minorEastAsia" w:cstheme="minorEastAsia"/>
                <w:sz w:val="28"/>
                <w:szCs w:val="28"/>
                <w:vertAlign w:val="baseline"/>
                <w:lang w:val="en-US" w:eastAsia="zh-CN"/>
              </w:rPr>
              <w:t>江西、河南、湖北</w:t>
            </w:r>
          </w:p>
        </w:tc>
        <w:tc>
          <w:tcPr>
            <w:tcW w:w="2050" w:type="dxa"/>
          </w:tcPr>
          <w:p w14:paraId="691D6410">
            <w:pPr>
              <w:jc w:val="center"/>
              <w:rPr>
                <w:rFonts w:hint="default" w:asciiTheme="minorEastAsia" w:hAnsiTheme="minorEastAsia" w:cstheme="minorEastAsia"/>
                <w:sz w:val="28"/>
                <w:szCs w:val="28"/>
                <w:vertAlign w:val="baseline"/>
                <w:lang w:val="en-US" w:eastAsia="zh-CN"/>
              </w:rPr>
            </w:pPr>
            <w:r>
              <w:rPr>
                <w:rFonts w:hint="eastAsia" w:asciiTheme="minorEastAsia" w:hAnsiTheme="minorEastAsia" w:cstheme="minorEastAsia"/>
                <w:sz w:val="28"/>
                <w:szCs w:val="28"/>
                <w:vertAlign w:val="baseline"/>
                <w:lang w:val="en-US" w:eastAsia="zh-CN"/>
              </w:rPr>
              <w:t>21</w:t>
            </w:r>
          </w:p>
        </w:tc>
        <w:tc>
          <w:tcPr>
            <w:tcW w:w="2278" w:type="dxa"/>
          </w:tcPr>
          <w:p w14:paraId="348B28F7">
            <w:pPr>
              <w:jc w:val="center"/>
              <w:rPr>
                <w:rFonts w:hint="default" w:asciiTheme="minorEastAsia" w:hAnsiTheme="minorEastAsia" w:cstheme="minorEastAsia"/>
                <w:sz w:val="28"/>
                <w:szCs w:val="28"/>
                <w:vertAlign w:val="baseline"/>
                <w:lang w:val="en-US" w:eastAsia="zh-CN"/>
              </w:rPr>
            </w:pPr>
            <w:r>
              <w:rPr>
                <w:rFonts w:hint="eastAsia" w:asciiTheme="minorEastAsia" w:hAnsiTheme="minorEastAsia" w:cstheme="minorEastAsia"/>
                <w:sz w:val="28"/>
                <w:szCs w:val="28"/>
                <w:vertAlign w:val="baseline"/>
                <w:lang w:val="en-US" w:eastAsia="zh-CN"/>
              </w:rPr>
              <w:t>4</w:t>
            </w:r>
          </w:p>
        </w:tc>
      </w:tr>
      <w:tr w14:paraId="171D7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4" w:type="dxa"/>
          </w:tcPr>
          <w:p w14:paraId="322F244E">
            <w:pPr>
              <w:jc w:val="both"/>
              <w:rPr>
                <w:rFonts w:hint="eastAsia" w:asciiTheme="minorEastAsia" w:hAnsiTheme="minorEastAsia" w:cstheme="minorEastAsia"/>
                <w:sz w:val="28"/>
                <w:szCs w:val="28"/>
                <w:vertAlign w:val="baseline"/>
                <w:lang w:val="en-US" w:eastAsia="zh-CN"/>
              </w:rPr>
            </w:pPr>
            <w:r>
              <w:rPr>
                <w:rFonts w:hint="eastAsia" w:asciiTheme="minorEastAsia" w:hAnsiTheme="minorEastAsia" w:cstheme="minorEastAsia"/>
                <w:sz w:val="28"/>
                <w:szCs w:val="28"/>
                <w:vertAlign w:val="baseline"/>
                <w:lang w:val="en-US" w:eastAsia="zh-CN"/>
              </w:rPr>
              <w:t>北京、天津、河北、山西、辽宁、福建、山东、湖南、重庆、</w:t>
            </w:r>
          </w:p>
          <w:p w14:paraId="79AFFC35">
            <w:pPr>
              <w:jc w:val="both"/>
              <w:rPr>
                <w:rFonts w:hint="eastAsia" w:asciiTheme="minorEastAsia" w:hAnsiTheme="minorEastAsia" w:cstheme="minorEastAsia"/>
                <w:sz w:val="28"/>
                <w:szCs w:val="28"/>
                <w:vertAlign w:val="baseline"/>
                <w:lang w:val="en-US" w:eastAsia="zh-CN"/>
              </w:rPr>
            </w:pPr>
            <w:r>
              <w:rPr>
                <w:rFonts w:hint="eastAsia" w:asciiTheme="minorEastAsia" w:hAnsiTheme="minorEastAsia" w:cstheme="minorEastAsia"/>
                <w:sz w:val="28"/>
                <w:szCs w:val="28"/>
                <w:vertAlign w:val="baseline"/>
                <w:lang w:val="en-US" w:eastAsia="zh-CN"/>
              </w:rPr>
              <w:t>四川、贵州、山西、广东</w:t>
            </w:r>
          </w:p>
        </w:tc>
        <w:tc>
          <w:tcPr>
            <w:tcW w:w="2050" w:type="dxa"/>
          </w:tcPr>
          <w:p w14:paraId="3A7ED3C4">
            <w:pPr>
              <w:jc w:val="center"/>
              <w:rPr>
                <w:rFonts w:hint="eastAsia" w:asciiTheme="minorEastAsia" w:hAnsiTheme="minorEastAsia" w:cstheme="minorEastAsia"/>
                <w:sz w:val="28"/>
                <w:szCs w:val="28"/>
                <w:vertAlign w:val="baseline"/>
                <w:lang w:val="en-US" w:eastAsia="zh-CN"/>
              </w:rPr>
            </w:pPr>
            <w:r>
              <w:rPr>
                <w:rFonts w:hint="eastAsia" w:asciiTheme="minorEastAsia" w:hAnsiTheme="minorEastAsia" w:cstheme="minorEastAsia"/>
                <w:sz w:val="28"/>
                <w:szCs w:val="28"/>
                <w:vertAlign w:val="baseline"/>
                <w:lang w:val="en-US" w:eastAsia="zh-CN"/>
              </w:rPr>
              <w:t>21</w:t>
            </w:r>
          </w:p>
        </w:tc>
        <w:tc>
          <w:tcPr>
            <w:tcW w:w="2278" w:type="dxa"/>
          </w:tcPr>
          <w:p w14:paraId="22D8C42F">
            <w:pPr>
              <w:jc w:val="center"/>
              <w:rPr>
                <w:rFonts w:hint="default" w:asciiTheme="minorEastAsia" w:hAnsiTheme="minorEastAsia" w:cstheme="minorEastAsia"/>
                <w:sz w:val="28"/>
                <w:szCs w:val="28"/>
                <w:vertAlign w:val="baseline"/>
                <w:lang w:val="en-US" w:eastAsia="zh-CN"/>
              </w:rPr>
            </w:pPr>
            <w:r>
              <w:rPr>
                <w:rFonts w:hint="eastAsia" w:asciiTheme="minorEastAsia" w:hAnsiTheme="minorEastAsia" w:cstheme="minorEastAsia"/>
                <w:sz w:val="28"/>
                <w:szCs w:val="28"/>
                <w:vertAlign w:val="baseline"/>
                <w:lang w:val="en-US" w:eastAsia="zh-CN"/>
              </w:rPr>
              <w:t>5</w:t>
            </w:r>
          </w:p>
        </w:tc>
      </w:tr>
      <w:tr w14:paraId="2C812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4" w:type="dxa"/>
          </w:tcPr>
          <w:p w14:paraId="793FFA1A">
            <w:pPr>
              <w:jc w:val="both"/>
              <w:rPr>
                <w:rFonts w:hint="eastAsia" w:asciiTheme="minorEastAsia" w:hAnsiTheme="minorEastAsia" w:cstheme="minorEastAsia"/>
                <w:sz w:val="28"/>
                <w:szCs w:val="28"/>
                <w:vertAlign w:val="baseline"/>
                <w:lang w:val="en-US" w:eastAsia="zh-CN"/>
              </w:rPr>
            </w:pPr>
            <w:r>
              <w:rPr>
                <w:rFonts w:hint="eastAsia" w:asciiTheme="minorEastAsia" w:hAnsiTheme="minorEastAsia" w:cstheme="minorEastAsia"/>
                <w:sz w:val="28"/>
                <w:szCs w:val="28"/>
                <w:vertAlign w:val="baseline"/>
                <w:lang w:val="en-US" w:eastAsia="zh-CN"/>
              </w:rPr>
              <w:t>内蒙古、吉林、黑龙江、广西、海南、宁夏、云南、甘肃、青</w:t>
            </w:r>
          </w:p>
          <w:p w14:paraId="4AA54E9A">
            <w:pPr>
              <w:jc w:val="both"/>
              <w:rPr>
                <w:rFonts w:hint="eastAsia" w:asciiTheme="minorEastAsia" w:hAnsiTheme="minorEastAsia" w:cstheme="minorEastAsia"/>
                <w:sz w:val="28"/>
                <w:szCs w:val="28"/>
                <w:vertAlign w:val="baseline"/>
                <w:lang w:val="en-US" w:eastAsia="zh-CN"/>
              </w:rPr>
            </w:pPr>
            <w:r>
              <w:rPr>
                <w:rFonts w:hint="eastAsia" w:asciiTheme="minorEastAsia" w:hAnsiTheme="minorEastAsia" w:cstheme="minorEastAsia"/>
                <w:sz w:val="28"/>
                <w:szCs w:val="28"/>
                <w:vertAlign w:val="baseline"/>
                <w:lang w:val="en-US" w:eastAsia="zh-CN"/>
              </w:rPr>
              <w:t>海</w:t>
            </w:r>
          </w:p>
        </w:tc>
        <w:tc>
          <w:tcPr>
            <w:tcW w:w="2050" w:type="dxa"/>
          </w:tcPr>
          <w:p w14:paraId="116D7520">
            <w:pPr>
              <w:jc w:val="center"/>
              <w:rPr>
                <w:rFonts w:hint="eastAsia" w:asciiTheme="minorEastAsia" w:hAnsiTheme="minorEastAsia" w:cstheme="minorEastAsia"/>
                <w:sz w:val="28"/>
                <w:szCs w:val="28"/>
                <w:vertAlign w:val="baseline"/>
                <w:lang w:val="en-US" w:eastAsia="zh-CN"/>
              </w:rPr>
            </w:pPr>
            <w:r>
              <w:rPr>
                <w:rFonts w:hint="eastAsia" w:asciiTheme="minorEastAsia" w:hAnsiTheme="minorEastAsia" w:cstheme="minorEastAsia"/>
                <w:sz w:val="28"/>
                <w:szCs w:val="28"/>
                <w:vertAlign w:val="baseline"/>
                <w:lang w:val="en-US" w:eastAsia="zh-CN"/>
              </w:rPr>
              <w:t>21</w:t>
            </w:r>
          </w:p>
        </w:tc>
        <w:tc>
          <w:tcPr>
            <w:tcW w:w="2278" w:type="dxa"/>
          </w:tcPr>
          <w:p w14:paraId="6800C165">
            <w:pPr>
              <w:jc w:val="center"/>
              <w:rPr>
                <w:rFonts w:hint="default" w:asciiTheme="minorEastAsia" w:hAnsiTheme="minorEastAsia" w:cstheme="minorEastAsia"/>
                <w:sz w:val="28"/>
                <w:szCs w:val="28"/>
                <w:vertAlign w:val="baseline"/>
                <w:lang w:val="en-US" w:eastAsia="zh-CN"/>
              </w:rPr>
            </w:pPr>
            <w:r>
              <w:rPr>
                <w:rFonts w:hint="eastAsia" w:asciiTheme="minorEastAsia" w:hAnsiTheme="minorEastAsia" w:cstheme="minorEastAsia"/>
                <w:sz w:val="28"/>
                <w:szCs w:val="28"/>
                <w:vertAlign w:val="baseline"/>
                <w:lang w:val="en-US" w:eastAsia="zh-CN"/>
              </w:rPr>
              <w:t>6</w:t>
            </w:r>
          </w:p>
        </w:tc>
      </w:tr>
      <w:tr w14:paraId="024E8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94" w:type="dxa"/>
          </w:tcPr>
          <w:p w14:paraId="3168DB3B">
            <w:pPr>
              <w:jc w:val="both"/>
              <w:rPr>
                <w:rFonts w:hint="eastAsia" w:asciiTheme="minorEastAsia" w:hAnsiTheme="minorEastAsia" w:cstheme="minorEastAsia"/>
                <w:sz w:val="28"/>
                <w:szCs w:val="28"/>
                <w:vertAlign w:val="baseline"/>
                <w:lang w:val="en-US" w:eastAsia="zh-CN"/>
              </w:rPr>
            </w:pPr>
            <w:r>
              <w:rPr>
                <w:rFonts w:hint="eastAsia" w:asciiTheme="minorEastAsia" w:hAnsiTheme="minorEastAsia" w:cstheme="minorEastAsia"/>
                <w:sz w:val="28"/>
                <w:szCs w:val="28"/>
                <w:vertAlign w:val="baseline"/>
                <w:lang w:val="en-US" w:eastAsia="zh-CN"/>
              </w:rPr>
              <w:t>新疆、西藏</w:t>
            </w:r>
          </w:p>
        </w:tc>
        <w:tc>
          <w:tcPr>
            <w:tcW w:w="2050" w:type="dxa"/>
          </w:tcPr>
          <w:p w14:paraId="66FE93BB">
            <w:pPr>
              <w:jc w:val="center"/>
              <w:rPr>
                <w:rFonts w:hint="default" w:asciiTheme="minorEastAsia" w:hAnsiTheme="minorEastAsia" w:cstheme="minorEastAsia"/>
                <w:sz w:val="28"/>
                <w:szCs w:val="28"/>
                <w:vertAlign w:val="baseline"/>
                <w:lang w:val="en-US" w:eastAsia="zh-CN"/>
              </w:rPr>
            </w:pPr>
            <w:r>
              <w:rPr>
                <w:rFonts w:hint="eastAsia" w:asciiTheme="minorEastAsia" w:hAnsiTheme="minorEastAsia" w:cstheme="minorEastAsia"/>
                <w:sz w:val="28"/>
                <w:szCs w:val="28"/>
                <w:vertAlign w:val="baseline"/>
                <w:lang w:val="en-US" w:eastAsia="zh-CN"/>
              </w:rPr>
              <w:t>24</w:t>
            </w:r>
          </w:p>
        </w:tc>
        <w:tc>
          <w:tcPr>
            <w:tcW w:w="2278" w:type="dxa"/>
          </w:tcPr>
          <w:p w14:paraId="0BED5C73">
            <w:pPr>
              <w:jc w:val="center"/>
              <w:rPr>
                <w:rFonts w:hint="default" w:asciiTheme="minorEastAsia" w:hAnsiTheme="minorEastAsia" w:cstheme="minorEastAsia"/>
                <w:sz w:val="28"/>
                <w:szCs w:val="28"/>
                <w:vertAlign w:val="baseline"/>
                <w:lang w:val="en-US" w:eastAsia="zh-CN"/>
              </w:rPr>
            </w:pPr>
            <w:r>
              <w:rPr>
                <w:rFonts w:hint="eastAsia" w:asciiTheme="minorEastAsia" w:hAnsiTheme="minorEastAsia" w:cstheme="minorEastAsia"/>
                <w:sz w:val="28"/>
                <w:szCs w:val="28"/>
                <w:vertAlign w:val="baseline"/>
                <w:lang w:val="en-US" w:eastAsia="zh-CN"/>
              </w:rPr>
              <w:t>14</w:t>
            </w:r>
          </w:p>
        </w:tc>
      </w:tr>
    </w:tbl>
    <w:p w14:paraId="4B6752B3">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1、标准快递邮件单边不超过1.5米，单间重量不超过40KG。</w:t>
      </w:r>
    </w:p>
    <w:p w14:paraId="4B2CF457">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2、计泡规定：任意单边超过60CM，体积重量为：长*宽*高/6000。</w:t>
      </w:r>
    </w:p>
    <w:p w14:paraId="2539FA68">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例如，本项目报费率100%，按件计算邮费，单件邮件在1kg 以</w:t>
      </w:r>
      <w:bookmarkStart w:id="1" w:name="_GoBack"/>
      <w:bookmarkEnd w:id="1"/>
      <w:r>
        <w:rPr>
          <w:rFonts w:hint="eastAsia" w:asciiTheme="minorEastAsia" w:hAnsiTheme="minorEastAsia" w:cstheme="minorEastAsia"/>
          <w:sz w:val="28"/>
          <w:szCs w:val="28"/>
          <w:lang w:val="en-US" w:eastAsia="zh-CN"/>
        </w:rPr>
        <w:t>内=寄达区域首重邮费*费率；单件超过1kg，除寄达区域首重邮费*费率外，每超出0.5kg，增加寄达区域的续重费用*费率。</w:t>
      </w:r>
    </w:p>
    <w:p w14:paraId="77517AAA">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Theme="minorEastAsia" w:hAnsiTheme="minorEastAsia" w:cstheme="minorEastAsia"/>
          <w:sz w:val="28"/>
          <w:szCs w:val="28"/>
          <w:lang w:val="en-US" w:eastAsia="zh-CN"/>
        </w:rPr>
      </w:pPr>
    </w:p>
    <w:p w14:paraId="6440E053">
      <w:pPr>
        <w:jc w:val="both"/>
        <w:rPr>
          <w:rFonts w:hint="default" w:asciiTheme="minorEastAsia" w:hAnsiTheme="minorEastAsia" w:cstheme="minorEastAsia"/>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291DC3"/>
    <w:rsid w:val="1EB85E3C"/>
    <w:rsid w:val="3C553960"/>
    <w:rsid w:val="437C0AE1"/>
    <w:rsid w:val="445D2D40"/>
    <w:rsid w:val="52F92CCF"/>
    <w:rsid w:val="58FA56F9"/>
    <w:rsid w:val="66EA2507"/>
    <w:rsid w:val="73871FF3"/>
    <w:rsid w:val="7D7B52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HAnsi" w:hAnsiTheme="minorHAnsi" w:eastAsiaTheme="minorEastAsia"/>
      <w:kern w:val="2"/>
      <w:sz w:val="28"/>
      <w:szCs w:val="28"/>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603</Words>
  <Characters>643</Characters>
  <Lines>0</Lines>
  <Paragraphs>0</Paragraphs>
  <TotalTime>738</TotalTime>
  <ScaleCrop>false</ScaleCrop>
  <LinksUpToDate>false</LinksUpToDate>
  <CharactersWithSpaces>644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2025-05-19T00:04:00Z</dcterms:created>
  <dc:creator>Administrator</dc:creator>
  <cp:lastModifiedBy>高杨</cp:lastModifiedBy>
  <cp:lastPrinted>2025-06-03T03:17:00Z</cp:lastPrinted>
  <dcterms:modified xsi:type="dcterms:W3CDTF">2025-06-06T07:20:27Z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EA1067E214A6421C8117B5BB2FFC907F_13</vt:lpwstr>
  </property>
</Properties>
</file>