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5CEA48">
      <w:pPr>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一、项目基本情况</w:t>
      </w:r>
    </w:p>
    <w:p w14:paraId="4E9BBADA">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lang w:val="en-US" w:eastAsia="zh-CN"/>
        </w:rPr>
        <w:t>1</w:t>
      </w:r>
      <w:r>
        <w:rPr>
          <w:rFonts w:hint="eastAsia" w:ascii="仿宋_GB2312" w:hAnsi="仿宋_GB2312" w:eastAsia="仿宋_GB2312" w:cs="仿宋_GB2312"/>
          <w:sz w:val="36"/>
          <w:szCs w:val="36"/>
        </w:rPr>
        <w:t>、项目名称：</w:t>
      </w:r>
      <w:bookmarkStart w:id="0" w:name="_GoBack"/>
      <w:r>
        <w:rPr>
          <w:rFonts w:hint="eastAsia" w:ascii="仿宋_GB2312" w:hAnsi="仿宋_GB2312" w:eastAsia="仿宋_GB2312" w:cs="仿宋_GB2312"/>
          <w:sz w:val="36"/>
          <w:szCs w:val="36"/>
          <w:lang w:eastAsia="zh-CN"/>
        </w:rPr>
        <w:t>马鞍山市人民医院健康管理中心护士站吧台柜体等项目采购</w:t>
      </w:r>
      <w:bookmarkEnd w:id="0"/>
    </w:p>
    <w:p w14:paraId="145AC76C">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lang w:val="en-US" w:eastAsia="zh-CN"/>
        </w:rPr>
        <w:t>2</w:t>
      </w:r>
      <w:r>
        <w:rPr>
          <w:rFonts w:hint="eastAsia" w:ascii="仿宋_GB2312" w:hAnsi="仿宋_GB2312" w:eastAsia="仿宋_GB2312" w:cs="仿宋_GB2312"/>
          <w:sz w:val="36"/>
          <w:szCs w:val="36"/>
        </w:rPr>
        <w:t>、预算金额：</w:t>
      </w:r>
      <w:r>
        <w:rPr>
          <w:rFonts w:hint="eastAsia" w:ascii="仿宋_GB2312" w:hAnsi="仿宋_GB2312" w:eastAsia="仿宋_GB2312" w:cs="仿宋_GB2312"/>
          <w:sz w:val="36"/>
          <w:szCs w:val="36"/>
          <w:lang w:val="en-US" w:eastAsia="zh-CN"/>
        </w:rPr>
        <w:t>3.44万</w:t>
      </w:r>
      <w:r>
        <w:rPr>
          <w:rFonts w:hint="eastAsia" w:ascii="仿宋_GB2312" w:hAnsi="仿宋_GB2312" w:eastAsia="仿宋_GB2312" w:cs="仿宋_GB2312"/>
          <w:sz w:val="36"/>
          <w:szCs w:val="36"/>
        </w:rPr>
        <w:t>元</w:t>
      </w:r>
    </w:p>
    <w:p w14:paraId="5C890FB8">
      <w:pPr>
        <w:ind w:firstLine="720" w:firstLineChars="200"/>
        <w:jc w:val="left"/>
        <w:rPr>
          <w:rFonts w:hint="eastAsia"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val="en-US" w:eastAsia="zh-CN"/>
        </w:rPr>
        <w:t>3、评审方法：综合评分</w:t>
      </w:r>
    </w:p>
    <w:p w14:paraId="638DE797">
      <w:pPr>
        <w:ind w:firstLine="720" w:firstLineChars="200"/>
        <w:jc w:val="left"/>
        <w:rPr>
          <w:rFonts w:hint="default"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val="en-US" w:eastAsia="zh-CN"/>
        </w:rPr>
        <w:t>4、</w:t>
      </w:r>
      <w:r>
        <w:rPr>
          <w:rFonts w:hint="eastAsia" w:ascii="仿宋_GB2312" w:hAnsi="仿宋_GB2312" w:eastAsia="仿宋_GB2312" w:cs="仿宋_GB2312"/>
          <w:sz w:val="36"/>
          <w:szCs w:val="36"/>
        </w:rPr>
        <w:t>本项目的特定资格要求：无</w:t>
      </w:r>
    </w:p>
    <w:tbl>
      <w:tblPr>
        <w:tblStyle w:val="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3877"/>
        <w:gridCol w:w="1619"/>
        <w:gridCol w:w="1782"/>
      </w:tblGrid>
      <w:tr w14:paraId="14B67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noWrap w:val="0"/>
            <w:vAlign w:val="top"/>
          </w:tcPr>
          <w:p w14:paraId="7194853C">
            <w:pP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序号</w:t>
            </w:r>
          </w:p>
        </w:tc>
        <w:tc>
          <w:tcPr>
            <w:tcW w:w="2275" w:type="pct"/>
            <w:noWrap w:val="0"/>
            <w:vAlign w:val="top"/>
          </w:tcPr>
          <w:p w14:paraId="372C1754">
            <w:pP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产品名称</w:t>
            </w:r>
          </w:p>
        </w:tc>
        <w:tc>
          <w:tcPr>
            <w:tcW w:w="950" w:type="pct"/>
            <w:noWrap w:val="0"/>
            <w:vAlign w:val="top"/>
          </w:tcPr>
          <w:p w14:paraId="5318F56E">
            <w:pPr>
              <w:jc w:val="cente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规格</w:t>
            </w:r>
          </w:p>
        </w:tc>
        <w:tc>
          <w:tcPr>
            <w:tcW w:w="1046" w:type="pct"/>
            <w:noWrap w:val="0"/>
            <w:vAlign w:val="top"/>
          </w:tcPr>
          <w:p w14:paraId="79AE8B8C">
            <w:pPr>
              <w:jc w:val="cente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数量</w:t>
            </w:r>
          </w:p>
        </w:tc>
      </w:tr>
      <w:tr w14:paraId="1D23E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noWrap w:val="0"/>
            <w:vAlign w:val="top"/>
          </w:tcPr>
          <w:p w14:paraId="092CA473">
            <w:pPr>
              <w:jc w:val="cente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w:t>
            </w:r>
          </w:p>
        </w:tc>
        <w:tc>
          <w:tcPr>
            <w:tcW w:w="2275" w:type="pct"/>
            <w:noWrap w:val="0"/>
            <w:vAlign w:val="top"/>
          </w:tcPr>
          <w:p w14:paraId="21A8D327">
            <w:pPr>
              <w:jc w:val="left"/>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护士站吧台</w:t>
            </w:r>
          </w:p>
        </w:tc>
        <w:tc>
          <w:tcPr>
            <w:tcW w:w="950" w:type="pct"/>
            <w:noWrap w:val="0"/>
            <w:vAlign w:val="top"/>
          </w:tcPr>
          <w:p w14:paraId="79D099C3">
            <w:pPr>
              <w:jc w:val="cente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套</w:t>
            </w:r>
          </w:p>
        </w:tc>
        <w:tc>
          <w:tcPr>
            <w:tcW w:w="1046" w:type="pct"/>
            <w:noWrap w:val="0"/>
            <w:vAlign w:val="top"/>
          </w:tcPr>
          <w:p w14:paraId="6A55BCA4">
            <w:pPr>
              <w:jc w:val="cente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w:t>
            </w:r>
          </w:p>
        </w:tc>
      </w:tr>
      <w:tr w14:paraId="55659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noWrap w:val="0"/>
            <w:vAlign w:val="top"/>
          </w:tcPr>
          <w:p w14:paraId="2059B443">
            <w:pPr>
              <w:jc w:val="cente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w:t>
            </w:r>
          </w:p>
        </w:tc>
        <w:tc>
          <w:tcPr>
            <w:tcW w:w="2275" w:type="pct"/>
            <w:noWrap w:val="0"/>
            <w:vAlign w:val="top"/>
          </w:tcPr>
          <w:p w14:paraId="4E474D95">
            <w:pPr>
              <w:jc w:val="left"/>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器械预处理台</w:t>
            </w:r>
          </w:p>
        </w:tc>
        <w:tc>
          <w:tcPr>
            <w:tcW w:w="950" w:type="pct"/>
            <w:noWrap w:val="0"/>
            <w:vAlign w:val="top"/>
          </w:tcPr>
          <w:p w14:paraId="5BFD8EE0">
            <w:pPr>
              <w:jc w:val="cente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套</w:t>
            </w:r>
          </w:p>
        </w:tc>
        <w:tc>
          <w:tcPr>
            <w:tcW w:w="1046" w:type="pct"/>
            <w:noWrap w:val="0"/>
            <w:vAlign w:val="top"/>
          </w:tcPr>
          <w:p w14:paraId="1C330BB6">
            <w:pPr>
              <w:jc w:val="cente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w:t>
            </w:r>
          </w:p>
        </w:tc>
      </w:tr>
      <w:tr w14:paraId="7A83C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noWrap w:val="0"/>
            <w:vAlign w:val="top"/>
          </w:tcPr>
          <w:p w14:paraId="5356FF90">
            <w:pPr>
              <w:jc w:val="cente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w:t>
            </w:r>
          </w:p>
        </w:tc>
        <w:tc>
          <w:tcPr>
            <w:tcW w:w="2275" w:type="pct"/>
            <w:noWrap w:val="0"/>
            <w:vAlign w:val="top"/>
          </w:tcPr>
          <w:p w14:paraId="7DADE7CF">
            <w:pPr>
              <w:jc w:val="left"/>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val="en-US" w:eastAsia="zh-CN"/>
              </w:rPr>
              <w:t>无菌储物柜</w:t>
            </w:r>
          </w:p>
        </w:tc>
        <w:tc>
          <w:tcPr>
            <w:tcW w:w="950" w:type="pct"/>
            <w:noWrap w:val="0"/>
            <w:vAlign w:val="top"/>
          </w:tcPr>
          <w:p w14:paraId="5A40B6C5">
            <w:pPr>
              <w:jc w:val="cente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套</w:t>
            </w:r>
          </w:p>
        </w:tc>
        <w:tc>
          <w:tcPr>
            <w:tcW w:w="1046" w:type="pct"/>
            <w:noWrap w:val="0"/>
            <w:vAlign w:val="top"/>
          </w:tcPr>
          <w:p w14:paraId="4355855F">
            <w:pPr>
              <w:jc w:val="cente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w:t>
            </w:r>
          </w:p>
        </w:tc>
      </w:tr>
    </w:tbl>
    <w:p w14:paraId="39F23554">
      <w:pPr>
        <w:rPr>
          <w:rFonts w:hint="eastAsia"/>
        </w:rPr>
      </w:pPr>
    </w:p>
    <w:p w14:paraId="37657D86">
      <w:pPr>
        <w:spacing w:line="420" w:lineRule="exact"/>
        <w:rPr>
          <w:rFonts w:hint="eastAsia" w:ascii="方正仿宋_GB2312" w:hAnsi="方正仿宋_GB2312" w:eastAsia="方正仿宋_GB2312" w:cs="方正仿宋_GB2312"/>
          <w:b/>
          <w:bCs/>
          <w:sz w:val="36"/>
          <w:szCs w:val="36"/>
          <w:highlight w:val="yellow"/>
          <w:lang w:val="en-US" w:eastAsia="zh-CN"/>
        </w:rPr>
      </w:pPr>
      <w:r>
        <w:rPr>
          <w:rFonts w:hint="eastAsia" w:ascii="方正仿宋_GB2312" w:hAnsi="方正仿宋_GB2312" w:eastAsia="方正仿宋_GB2312" w:cs="方正仿宋_GB2312"/>
          <w:b/>
          <w:bCs/>
          <w:sz w:val="36"/>
          <w:szCs w:val="36"/>
          <w:highlight w:val="yellow"/>
          <w:lang w:val="en-US" w:eastAsia="zh-CN"/>
        </w:rPr>
        <w:t>供应商在响应文件提交截止时间前向招标办提交以下样品（不提供样品作废标处理）：</w:t>
      </w:r>
    </w:p>
    <w:p w14:paraId="7C5B630E">
      <w:pPr>
        <w:spacing w:line="420" w:lineRule="exact"/>
        <w:rPr>
          <w:rFonts w:hint="eastAsia" w:ascii="方正仿宋_GB2312" w:hAnsi="方正仿宋_GB2312" w:eastAsia="方正仿宋_GB2312" w:cs="方正仿宋_GB2312"/>
          <w:sz w:val="36"/>
          <w:szCs w:val="36"/>
          <w:lang w:val="en-US" w:eastAsia="zh-CN"/>
        </w:rPr>
      </w:pPr>
      <w:r>
        <w:rPr>
          <w:rFonts w:hint="eastAsia" w:ascii="方正仿宋_GB2312" w:hAnsi="方正仿宋_GB2312" w:eastAsia="方正仿宋_GB2312" w:cs="方正仿宋_GB2312"/>
          <w:b/>
          <w:bCs/>
          <w:sz w:val="36"/>
          <w:szCs w:val="36"/>
          <w:highlight w:val="yellow"/>
          <w:lang w:val="en-US" w:eastAsia="zh-CN"/>
        </w:rPr>
        <w:t>提供样品：护士站吧台柜体所用电解钢板喷涂样块（尺寸100mm*100mm）。</w:t>
      </w:r>
    </w:p>
    <w:p w14:paraId="042EDBC2">
      <w:pPr>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lang w:val="en-US" w:eastAsia="zh-CN"/>
        </w:rPr>
        <w:t>二、</w:t>
      </w:r>
      <w:r>
        <w:rPr>
          <w:rFonts w:hint="eastAsia" w:ascii="仿宋_GB2312" w:hAnsi="仿宋_GB2312" w:eastAsia="仿宋_GB2312" w:cs="仿宋_GB2312"/>
          <w:sz w:val="36"/>
          <w:szCs w:val="36"/>
        </w:rPr>
        <w:t>采购内容：</w:t>
      </w:r>
      <w:r>
        <w:rPr>
          <w:rFonts w:hint="eastAsia" w:ascii="仿宋_GB2312" w:hAnsi="仿宋_GB2312" w:eastAsia="仿宋_GB2312" w:cs="仿宋_GB2312"/>
          <w:sz w:val="36"/>
          <w:szCs w:val="36"/>
          <w:lang w:eastAsia="zh-CN"/>
        </w:rPr>
        <w:t>健康管理中心</w:t>
      </w:r>
      <w:r>
        <w:rPr>
          <w:rFonts w:hint="eastAsia" w:ascii="仿宋_GB2312" w:hAnsi="仿宋_GB2312" w:eastAsia="仿宋_GB2312" w:cs="仿宋_GB2312"/>
          <w:sz w:val="36"/>
          <w:szCs w:val="36"/>
        </w:rPr>
        <w:t>、导管室</w:t>
      </w:r>
      <w:r>
        <w:rPr>
          <w:rFonts w:hint="eastAsia" w:ascii="仿宋_GB2312" w:hAnsi="仿宋_GB2312" w:eastAsia="仿宋_GB2312" w:cs="仿宋_GB2312"/>
          <w:sz w:val="36"/>
          <w:szCs w:val="36"/>
          <w:lang w:eastAsia="zh-CN"/>
        </w:rPr>
        <w:t>定制</w:t>
      </w:r>
      <w:r>
        <w:rPr>
          <w:rFonts w:hint="eastAsia" w:ascii="仿宋_GB2312" w:hAnsi="仿宋_GB2312" w:eastAsia="仿宋_GB2312" w:cs="仿宋_GB2312"/>
          <w:sz w:val="36"/>
          <w:szCs w:val="36"/>
        </w:rPr>
        <w:t>护士站、器械预处理台、无菌储物柜，采购、安装调试及售后服务等。</w:t>
      </w:r>
    </w:p>
    <w:p w14:paraId="4817D50C">
      <w:pPr>
        <w:jc w:val="left"/>
        <w:rPr>
          <w:rFonts w:hint="default"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val="en-US" w:eastAsia="zh-CN"/>
        </w:rPr>
        <w:t>三、</w:t>
      </w:r>
      <w:r>
        <w:rPr>
          <w:rFonts w:hint="eastAsia" w:ascii="仿宋_GB2312" w:hAnsi="仿宋_GB2312" w:eastAsia="仿宋_GB2312" w:cs="仿宋_GB2312"/>
          <w:sz w:val="36"/>
          <w:szCs w:val="36"/>
          <w:lang w:eastAsia="zh-CN"/>
        </w:rPr>
        <w:t>技术参数：</w:t>
      </w:r>
      <w:r>
        <w:rPr>
          <w:rFonts w:hint="eastAsia" w:ascii="仿宋_GB2312" w:hAnsi="仿宋_GB2312" w:eastAsia="仿宋_GB2312" w:cs="仿宋_GB2312"/>
          <w:sz w:val="36"/>
          <w:szCs w:val="36"/>
          <w:highlight w:val="yellow"/>
          <w:lang w:eastAsia="zh-CN"/>
        </w:rPr>
        <w:t>见附件</w:t>
      </w:r>
      <w:r>
        <w:rPr>
          <w:rFonts w:hint="eastAsia" w:ascii="仿宋_GB2312" w:hAnsi="仿宋_GB2312" w:eastAsia="仿宋_GB2312" w:cs="仿宋_GB2312"/>
          <w:sz w:val="36"/>
          <w:szCs w:val="36"/>
          <w:highlight w:val="yellow"/>
          <w:lang w:val="en-US" w:eastAsia="zh-CN"/>
        </w:rPr>
        <w:t>1、附件2。</w:t>
      </w:r>
    </w:p>
    <w:p w14:paraId="187EA874">
      <w:pPr>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四、商务要求</w:t>
      </w:r>
    </w:p>
    <w:p w14:paraId="0247E981">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1、交付时间</w:t>
      </w:r>
    </w:p>
    <w:p w14:paraId="719C04F9">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lang w:eastAsia="zh-CN"/>
        </w:rPr>
        <w:t>合同签订后，接到采购人书面通知</w:t>
      </w:r>
      <w:r>
        <w:rPr>
          <w:rFonts w:hint="eastAsia" w:ascii="仿宋_GB2312" w:hAnsi="仿宋_GB2312" w:eastAsia="仿宋_GB2312" w:cs="仿宋_GB2312"/>
          <w:sz w:val="36"/>
          <w:szCs w:val="36"/>
          <w:u w:val="single"/>
        </w:rPr>
        <w:t xml:space="preserve"> </w:t>
      </w:r>
      <w:r>
        <w:rPr>
          <w:rFonts w:hint="eastAsia" w:ascii="仿宋_GB2312" w:hAnsi="仿宋_GB2312" w:eastAsia="仿宋_GB2312" w:cs="仿宋_GB2312"/>
          <w:sz w:val="36"/>
          <w:szCs w:val="36"/>
          <w:u w:val="single"/>
          <w:lang w:val="en-US" w:eastAsia="zh-CN"/>
        </w:rPr>
        <w:t>2</w:t>
      </w:r>
      <w:r>
        <w:rPr>
          <w:rFonts w:hint="eastAsia" w:ascii="仿宋_GB2312" w:hAnsi="仿宋_GB2312" w:eastAsia="仿宋_GB2312" w:cs="仿宋_GB2312"/>
          <w:sz w:val="36"/>
          <w:szCs w:val="36"/>
          <w:u w:val="single"/>
        </w:rPr>
        <w:t xml:space="preserve">0 </w:t>
      </w:r>
      <w:r>
        <w:rPr>
          <w:rFonts w:hint="eastAsia" w:ascii="仿宋_GB2312" w:hAnsi="仿宋_GB2312" w:eastAsia="仿宋_GB2312" w:cs="仿宋_GB2312"/>
          <w:sz w:val="36"/>
          <w:szCs w:val="36"/>
        </w:rPr>
        <w:t>天内完成供货、安装、摆放等。</w:t>
      </w:r>
    </w:p>
    <w:p w14:paraId="6A35F66E">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2、交付地点</w:t>
      </w:r>
    </w:p>
    <w:p w14:paraId="0C65A5BC">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地点：马鞍山市人民医院。</w:t>
      </w:r>
    </w:p>
    <w:p w14:paraId="2AB0116A">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3、</w:t>
      </w:r>
      <w:r>
        <w:rPr>
          <w:rFonts w:hint="eastAsia" w:ascii="仿宋_GB2312" w:hAnsi="仿宋_GB2312" w:eastAsia="仿宋_GB2312" w:cs="仿宋_GB2312"/>
          <w:sz w:val="36"/>
          <w:szCs w:val="36"/>
          <w:lang w:eastAsia="zh-CN"/>
        </w:rPr>
        <w:t>成交供应商</w:t>
      </w:r>
      <w:r>
        <w:rPr>
          <w:rFonts w:hint="eastAsia" w:ascii="仿宋_GB2312" w:hAnsi="仿宋_GB2312" w:eastAsia="仿宋_GB2312" w:cs="仿宋_GB2312"/>
          <w:sz w:val="36"/>
          <w:szCs w:val="36"/>
        </w:rPr>
        <w:t>提供的所有货物须为全新的、未使用过的原装正品。提交货物的技术参数和配置应与比选文件中的要求及其响应文件中的技术响应表（如果被评审小组接受的话）相一致。若比选文件及</w:t>
      </w:r>
      <w:r>
        <w:rPr>
          <w:rFonts w:hint="eastAsia" w:ascii="仿宋_GB2312" w:hAnsi="仿宋_GB2312" w:eastAsia="仿宋_GB2312" w:cs="仿宋_GB2312"/>
          <w:sz w:val="36"/>
          <w:szCs w:val="36"/>
          <w:lang w:eastAsia="zh-CN"/>
        </w:rPr>
        <w:t>响应文件</w:t>
      </w:r>
      <w:r>
        <w:rPr>
          <w:rFonts w:hint="eastAsia" w:ascii="仿宋_GB2312" w:hAnsi="仿宋_GB2312" w:eastAsia="仿宋_GB2312" w:cs="仿宋_GB2312"/>
          <w:sz w:val="36"/>
          <w:szCs w:val="36"/>
        </w:rPr>
        <w:t>中无相应说明，则以国家有关部门最新颁布的相应标准及规范为准。</w:t>
      </w:r>
    </w:p>
    <w:p w14:paraId="62AA4FF9">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4、</w:t>
      </w:r>
      <w:r>
        <w:rPr>
          <w:rFonts w:hint="eastAsia" w:ascii="仿宋_GB2312" w:hAnsi="仿宋_GB2312" w:eastAsia="仿宋_GB2312" w:cs="仿宋_GB2312"/>
          <w:sz w:val="36"/>
          <w:szCs w:val="36"/>
          <w:lang w:eastAsia="zh-CN"/>
        </w:rPr>
        <w:t>采购人</w:t>
      </w:r>
      <w:r>
        <w:rPr>
          <w:rFonts w:hint="eastAsia" w:ascii="仿宋_GB2312" w:hAnsi="仿宋_GB2312" w:eastAsia="仿宋_GB2312" w:cs="仿宋_GB2312"/>
          <w:sz w:val="36"/>
          <w:szCs w:val="36"/>
        </w:rPr>
        <w:t>和相关部门按照比选文件和响应文件承诺进行验收。比选文件没有规定和响应文件没有相应承诺的，按照下列原则进行验收：有国家标准的按照国家标准验收，没有国家标准的按行业标准验收，无行业标准的按地方或企业标准验收，</w:t>
      </w:r>
      <w:r>
        <w:rPr>
          <w:rFonts w:hint="eastAsia" w:ascii="仿宋_GB2312" w:hAnsi="仿宋_GB2312" w:eastAsia="仿宋_GB2312" w:cs="仿宋_GB2312"/>
          <w:sz w:val="36"/>
          <w:szCs w:val="36"/>
          <w:lang w:eastAsia="zh-CN"/>
        </w:rPr>
        <w:t>成交供应商</w:t>
      </w:r>
      <w:r>
        <w:rPr>
          <w:rFonts w:hint="eastAsia" w:ascii="仿宋_GB2312" w:hAnsi="仿宋_GB2312" w:eastAsia="仿宋_GB2312" w:cs="仿宋_GB2312"/>
          <w:sz w:val="36"/>
          <w:szCs w:val="36"/>
        </w:rPr>
        <w:t>予以配合。涉及安全、消防、环保等需要由质检或行业主管部门验收的项目，</w:t>
      </w:r>
      <w:r>
        <w:rPr>
          <w:rFonts w:hint="eastAsia" w:ascii="仿宋_GB2312" w:hAnsi="仿宋_GB2312" w:eastAsia="仿宋_GB2312" w:cs="仿宋_GB2312"/>
          <w:sz w:val="36"/>
          <w:szCs w:val="36"/>
          <w:lang w:eastAsia="zh-CN"/>
        </w:rPr>
        <w:t>采购人</w:t>
      </w:r>
      <w:r>
        <w:rPr>
          <w:rFonts w:hint="eastAsia" w:ascii="仿宋_GB2312" w:hAnsi="仿宋_GB2312" w:eastAsia="仿宋_GB2312" w:cs="仿宋_GB2312"/>
          <w:sz w:val="36"/>
          <w:szCs w:val="36"/>
        </w:rPr>
        <w:t>须约请相关部门和专家参加项目验收。所有需要质检部门进行检测才能使用的货物，报价中必须包含首次检测费用。</w:t>
      </w:r>
    </w:p>
    <w:p w14:paraId="2FDEE7CE">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5、所有货物必须符合国家相关强制性要求。</w:t>
      </w:r>
    </w:p>
    <w:p w14:paraId="232ADF5D">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6、付款</w:t>
      </w:r>
    </w:p>
    <w:p w14:paraId="00A154FB">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货物验收合格后一次性付款。</w:t>
      </w:r>
    </w:p>
    <w:p w14:paraId="7893B28D">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7、售后服务要求</w:t>
      </w:r>
    </w:p>
    <w:p w14:paraId="45E84298">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（1）</w:t>
      </w:r>
      <w:r>
        <w:rPr>
          <w:rFonts w:hint="eastAsia" w:ascii="仿宋_GB2312" w:hAnsi="仿宋_GB2312" w:eastAsia="仿宋_GB2312" w:cs="仿宋_GB2312"/>
          <w:sz w:val="36"/>
          <w:szCs w:val="36"/>
          <w:lang w:eastAsia="zh-CN"/>
        </w:rPr>
        <w:t>成交供应商</w:t>
      </w:r>
      <w:r>
        <w:rPr>
          <w:rFonts w:hint="eastAsia" w:ascii="仿宋_GB2312" w:hAnsi="仿宋_GB2312" w:eastAsia="仿宋_GB2312" w:cs="仿宋_GB2312"/>
          <w:sz w:val="36"/>
          <w:szCs w:val="36"/>
        </w:rPr>
        <w:t>提供的售后服务标准应不低于同型号产品的市场服务标准。</w:t>
      </w:r>
    </w:p>
    <w:p w14:paraId="46B1810B">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（2）自验收合格之日起，应提供至少</w:t>
      </w:r>
      <w:r>
        <w:rPr>
          <w:rFonts w:hint="eastAsia" w:ascii="仿宋_GB2312" w:hAnsi="仿宋_GB2312" w:eastAsia="仿宋_GB2312" w:cs="仿宋_GB2312"/>
          <w:sz w:val="36"/>
          <w:szCs w:val="36"/>
          <w:highlight w:val="yellow"/>
          <w:lang w:val="en-US" w:eastAsia="zh-CN"/>
        </w:rPr>
        <w:t>3</w:t>
      </w:r>
      <w:r>
        <w:rPr>
          <w:rFonts w:hint="eastAsia" w:ascii="仿宋_GB2312" w:hAnsi="仿宋_GB2312" w:eastAsia="仿宋_GB2312" w:cs="仿宋_GB2312"/>
          <w:sz w:val="36"/>
          <w:szCs w:val="36"/>
        </w:rPr>
        <w:t>年质量保证期。</w:t>
      </w:r>
    </w:p>
    <w:p w14:paraId="4488C2FF">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（3）在质量保证期内，确因产品质量问题产生的设备更换、备件、耗材、人工等费用均由</w:t>
      </w:r>
      <w:r>
        <w:rPr>
          <w:rFonts w:hint="eastAsia" w:ascii="仿宋_GB2312" w:hAnsi="仿宋_GB2312" w:eastAsia="仿宋_GB2312" w:cs="仿宋_GB2312"/>
          <w:sz w:val="36"/>
          <w:szCs w:val="36"/>
          <w:lang w:eastAsia="zh-CN"/>
        </w:rPr>
        <w:t>成交供应商</w:t>
      </w:r>
      <w:r>
        <w:rPr>
          <w:rFonts w:hint="eastAsia" w:ascii="仿宋_GB2312" w:hAnsi="仿宋_GB2312" w:eastAsia="仿宋_GB2312" w:cs="仿宋_GB2312"/>
          <w:sz w:val="36"/>
          <w:szCs w:val="36"/>
        </w:rPr>
        <w:t>承担，因人为因素出现的故障不在免费保修范围。</w:t>
      </w:r>
    </w:p>
    <w:p w14:paraId="774A1720">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（4）在质保期内，</w:t>
      </w:r>
      <w:r>
        <w:rPr>
          <w:rFonts w:hint="eastAsia" w:ascii="仿宋_GB2312" w:hAnsi="仿宋_GB2312" w:eastAsia="仿宋_GB2312" w:cs="仿宋_GB2312"/>
          <w:sz w:val="36"/>
          <w:szCs w:val="36"/>
          <w:lang w:eastAsia="zh-CN"/>
        </w:rPr>
        <w:t>成交供应商</w:t>
      </w:r>
      <w:r>
        <w:rPr>
          <w:rFonts w:hint="eastAsia" w:ascii="仿宋_GB2312" w:hAnsi="仿宋_GB2312" w:eastAsia="仿宋_GB2312" w:cs="仿宋_GB2312"/>
          <w:sz w:val="36"/>
          <w:szCs w:val="36"/>
        </w:rPr>
        <w:t>应以优良的服务态度，一旦发生质量问题，</w:t>
      </w:r>
      <w:r>
        <w:rPr>
          <w:rFonts w:hint="eastAsia" w:ascii="仿宋_GB2312" w:hAnsi="仿宋_GB2312" w:eastAsia="仿宋_GB2312" w:cs="仿宋_GB2312"/>
          <w:sz w:val="36"/>
          <w:szCs w:val="36"/>
          <w:lang w:eastAsia="zh-CN"/>
        </w:rPr>
        <w:t>成交供应商</w:t>
      </w:r>
      <w:r>
        <w:rPr>
          <w:rFonts w:hint="eastAsia" w:ascii="仿宋_GB2312" w:hAnsi="仿宋_GB2312" w:eastAsia="仿宋_GB2312" w:cs="仿宋_GB2312"/>
          <w:sz w:val="36"/>
          <w:szCs w:val="36"/>
        </w:rPr>
        <w:t>应在2小时内响应，4小时内到达现场，48小时内解决问题，如在48小时内不能解决问题，应免费用同样的产品更换到位。如</w:t>
      </w:r>
      <w:r>
        <w:rPr>
          <w:rFonts w:hint="eastAsia" w:ascii="仿宋_GB2312" w:hAnsi="仿宋_GB2312" w:eastAsia="仿宋_GB2312" w:cs="仿宋_GB2312"/>
          <w:sz w:val="36"/>
          <w:szCs w:val="36"/>
          <w:lang w:eastAsia="zh-CN"/>
        </w:rPr>
        <w:t>成交供应商</w:t>
      </w:r>
      <w:r>
        <w:rPr>
          <w:rFonts w:hint="eastAsia" w:ascii="仿宋_GB2312" w:hAnsi="仿宋_GB2312" w:eastAsia="仿宋_GB2312" w:cs="仿宋_GB2312"/>
          <w:sz w:val="36"/>
          <w:szCs w:val="36"/>
        </w:rPr>
        <w:t>在接到通知后2小时内没有答复或处理问题，则视为</w:t>
      </w:r>
      <w:r>
        <w:rPr>
          <w:rFonts w:hint="eastAsia" w:ascii="仿宋_GB2312" w:hAnsi="仿宋_GB2312" w:eastAsia="仿宋_GB2312" w:cs="仿宋_GB2312"/>
          <w:sz w:val="36"/>
          <w:szCs w:val="36"/>
          <w:lang w:eastAsia="zh-CN"/>
        </w:rPr>
        <w:t>成交供应商</w:t>
      </w:r>
      <w:r>
        <w:rPr>
          <w:rFonts w:hint="eastAsia" w:ascii="仿宋_GB2312" w:hAnsi="仿宋_GB2312" w:eastAsia="仿宋_GB2312" w:cs="仿宋_GB2312"/>
          <w:sz w:val="36"/>
          <w:szCs w:val="36"/>
        </w:rPr>
        <w:t>承认质量问题并承担由此而发生的一切费用。</w:t>
      </w:r>
    </w:p>
    <w:p w14:paraId="72F794CB">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（5）在质保期届满后，</w:t>
      </w:r>
      <w:r>
        <w:rPr>
          <w:rFonts w:hint="eastAsia" w:ascii="仿宋_GB2312" w:hAnsi="仿宋_GB2312" w:eastAsia="仿宋_GB2312" w:cs="仿宋_GB2312"/>
          <w:sz w:val="36"/>
          <w:szCs w:val="36"/>
          <w:lang w:eastAsia="zh-CN"/>
        </w:rPr>
        <w:t>成交供应商</w:t>
      </w:r>
      <w:r>
        <w:rPr>
          <w:rFonts w:hint="eastAsia" w:ascii="仿宋_GB2312" w:hAnsi="仿宋_GB2312" w:eastAsia="仿宋_GB2312" w:cs="仿宋_GB2312"/>
          <w:sz w:val="36"/>
          <w:szCs w:val="36"/>
        </w:rPr>
        <w:t>保证继续为</w:t>
      </w:r>
      <w:r>
        <w:rPr>
          <w:rFonts w:hint="eastAsia" w:ascii="仿宋_GB2312" w:hAnsi="仿宋_GB2312" w:eastAsia="仿宋_GB2312" w:cs="仿宋_GB2312"/>
          <w:sz w:val="36"/>
          <w:szCs w:val="36"/>
          <w:lang w:eastAsia="zh-CN"/>
        </w:rPr>
        <w:t>采购人</w:t>
      </w:r>
      <w:r>
        <w:rPr>
          <w:rFonts w:hint="eastAsia" w:ascii="仿宋_GB2312" w:hAnsi="仿宋_GB2312" w:eastAsia="仿宋_GB2312" w:cs="仿宋_GB2312"/>
          <w:sz w:val="36"/>
          <w:szCs w:val="36"/>
        </w:rPr>
        <w:t>提供设备的维修服务，</w:t>
      </w:r>
      <w:r>
        <w:rPr>
          <w:rFonts w:hint="eastAsia" w:ascii="仿宋_GB2312" w:hAnsi="仿宋_GB2312" w:eastAsia="仿宋_GB2312" w:cs="仿宋_GB2312"/>
          <w:sz w:val="36"/>
          <w:szCs w:val="36"/>
          <w:lang w:eastAsia="zh-CN"/>
        </w:rPr>
        <w:t>采购人</w:t>
      </w:r>
      <w:r>
        <w:rPr>
          <w:rFonts w:hint="eastAsia" w:ascii="仿宋_GB2312" w:hAnsi="仿宋_GB2312" w:eastAsia="仿宋_GB2312" w:cs="仿宋_GB2312"/>
          <w:sz w:val="36"/>
          <w:szCs w:val="36"/>
        </w:rPr>
        <w:t>应按</w:t>
      </w:r>
      <w:r>
        <w:rPr>
          <w:rFonts w:hint="eastAsia" w:ascii="仿宋_GB2312" w:hAnsi="仿宋_GB2312" w:eastAsia="仿宋_GB2312" w:cs="仿宋_GB2312"/>
          <w:sz w:val="36"/>
          <w:szCs w:val="36"/>
          <w:lang w:eastAsia="zh-CN"/>
        </w:rPr>
        <w:t>成交供应商</w:t>
      </w:r>
      <w:r>
        <w:rPr>
          <w:rFonts w:hint="eastAsia" w:ascii="仿宋_GB2312" w:hAnsi="仿宋_GB2312" w:eastAsia="仿宋_GB2312" w:cs="仿宋_GB2312"/>
          <w:sz w:val="36"/>
          <w:szCs w:val="36"/>
        </w:rPr>
        <w:t>提供的不差于任何第三方的优惠价格向</w:t>
      </w:r>
      <w:r>
        <w:rPr>
          <w:rFonts w:hint="eastAsia" w:ascii="仿宋_GB2312" w:hAnsi="仿宋_GB2312" w:eastAsia="仿宋_GB2312" w:cs="仿宋_GB2312"/>
          <w:sz w:val="36"/>
          <w:szCs w:val="36"/>
          <w:lang w:eastAsia="zh-CN"/>
        </w:rPr>
        <w:t>成交供应商</w:t>
      </w:r>
      <w:r>
        <w:rPr>
          <w:rFonts w:hint="eastAsia" w:ascii="仿宋_GB2312" w:hAnsi="仿宋_GB2312" w:eastAsia="仿宋_GB2312" w:cs="仿宋_GB2312"/>
          <w:sz w:val="36"/>
          <w:szCs w:val="36"/>
        </w:rPr>
        <w:t>支付相关费用，</w:t>
      </w:r>
      <w:r>
        <w:rPr>
          <w:rFonts w:hint="eastAsia" w:ascii="仿宋_GB2312" w:hAnsi="仿宋_GB2312" w:eastAsia="仿宋_GB2312" w:cs="仿宋_GB2312"/>
          <w:sz w:val="36"/>
          <w:szCs w:val="36"/>
          <w:lang w:eastAsia="zh-CN"/>
        </w:rPr>
        <w:t>成交供应商</w:t>
      </w:r>
      <w:r>
        <w:rPr>
          <w:rFonts w:hint="eastAsia" w:ascii="仿宋_GB2312" w:hAnsi="仿宋_GB2312" w:eastAsia="仿宋_GB2312" w:cs="仿宋_GB2312"/>
          <w:sz w:val="36"/>
          <w:szCs w:val="36"/>
        </w:rPr>
        <w:t>保证在合同货物使用期内以不高于本合同货物、相关配件及服务的价格，并且不差于任何第三方的优惠价格，向</w:t>
      </w:r>
      <w:r>
        <w:rPr>
          <w:rFonts w:hint="eastAsia" w:ascii="仿宋_GB2312" w:hAnsi="仿宋_GB2312" w:eastAsia="仿宋_GB2312" w:cs="仿宋_GB2312"/>
          <w:sz w:val="36"/>
          <w:szCs w:val="36"/>
          <w:lang w:eastAsia="zh-CN"/>
        </w:rPr>
        <w:t>采购人</w:t>
      </w:r>
      <w:r>
        <w:rPr>
          <w:rFonts w:hint="eastAsia" w:ascii="仿宋_GB2312" w:hAnsi="仿宋_GB2312" w:eastAsia="仿宋_GB2312" w:cs="仿宋_GB2312"/>
          <w:sz w:val="36"/>
          <w:szCs w:val="36"/>
        </w:rPr>
        <w:t>提供备品、备件及维修服务。</w:t>
      </w:r>
    </w:p>
    <w:p w14:paraId="06D87C3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DF04929-4E0A-4895-91DC-E242FBA9F887}"/>
  </w:font>
  <w:font w:name="仿宋_GB2312">
    <w:panose1 w:val="02010609030101010101"/>
    <w:charset w:val="86"/>
    <w:family w:val="modern"/>
    <w:pitch w:val="default"/>
    <w:sig w:usb0="00000001" w:usb1="080E0000" w:usb2="00000000" w:usb3="00000000" w:csb0="00040000" w:csb1="00000000"/>
    <w:embedRegular r:id="rId2" w:fontKey="{575AEB88-5854-4034-BDE2-4FF6C309BC4B}"/>
  </w:font>
  <w:font w:name="方正仿宋_GB2312">
    <w:panose1 w:val="02000000000000000000"/>
    <w:charset w:val="86"/>
    <w:family w:val="auto"/>
    <w:pitch w:val="default"/>
    <w:sig w:usb0="A00002BF" w:usb1="184F6CFA" w:usb2="00000012" w:usb3="00000000" w:csb0="00040001" w:csb1="00000000"/>
    <w:embedRegular r:id="rId3" w:fontKey="{FC2769B8-785E-4AF9-BE78-68717F5BB23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255E06"/>
    <w:rsid w:val="19255E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2025-05-09T02:41:00Z</dcterms:created>
  <dc:creator>高杨</dc:creator>
  <cp:lastModifiedBy>高杨</cp:lastModifiedBy>
  <dcterms:modified xsi:type="dcterms:W3CDTF">2025-05-09T02:42:26Z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CE8CE51C68DB4C20BC28CD2553D1F505_11</vt:lpwstr>
  </property>
  <property fmtid="{D5CDD505-2E9C-101B-9397-08002B2CF9AE}" pid="4" name="KSOTemplateDocerSaveRecord">
    <vt:lpwstr>eyJoZGlkIjoiMjU5NzRhZDBkZDkwNDZlZDExYzFkOTc4ZWIwMjc2MDAiLCJ1c2VySWQiOiI0OTQ3NTI0ODcifQ==</vt:lpwstr>
  </property>
</Properties>
</file>