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23924E">
      <w:pPr>
        <w:pStyle w:val="2"/>
        <w:spacing w:before="156" w:after="156"/>
        <w:rPr>
          <w:rFonts w:asciiTheme="minorEastAsia" w:hAnsiTheme="minorEastAsia" w:eastAsiaTheme="minorEastAsia"/>
        </w:rPr>
      </w:pPr>
      <w:bookmarkStart w:id="0" w:name="_Toc1001193401"/>
      <w:r>
        <w:rPr>
          <w:rFonts w:hint="eastAsia" w:asciiTheme="minorEastAsia" w:hAnsiTheme="minorEastAsia" w:eastAsiaTheme="minorEastAsia"/>
        </w:rPr>
        <w:t>采购需求</w:t>
      </w:r>
      <w:bookmarkEnd w:id="0"/>
    </w:p>
    <w:p w14:paraId="72725DB7">
      <w:pPr>
        <w:pStyle w:val="3"/>
        <w:spacing w:before="156" w:after="156"/>
        <w:rPr>
          <w:rFonts w:asciiTheme="minorEastAsia" w:hAnsiTheme="minorEastAsia" w:eastAsiaTheme="minorEastAsia"/>
        </w:rPr>
      </w:pPr>
      <w:bookmarkStart w:id="1" w:name="_Toc1523116362"/>
      <w:bookmarkStart w:id="7" w:name="_GoBack"/>
      <w:bookmarkEnd w:id="7"/>
      <w:r>
        <w:rPr>
          <w:rFonts w:hint="eastAsia" w:asciiTheme="minorEastAsia" w:hAnsiTheme="minorEastAsia" w:eastAsiaTheme="minorEastAsia"/>
        </w:rPr>
        <w:t>智慧财务管理系统功能参数</w:t>
      </w:r>
      <w:bookmarkEnd w:id="1"/>
    </w:p>
    <w:p w14:paraId="3AFB0A0E">
      <w:pPr>
        <w:pStyle w:val="4"/>
        <w:spacing w:before="156"/>
        <w:rPr>
          <w:b/>
          <w:bCs/>
          <w:spacing w:val="-15"/>
          <w:sz w:val="28"/>
          <w:szCs w:val="28"/>
        </w:rPr>
      </w:pPr>
      <w:bookmarkStart w:id="2" w:name="_Toc1011623894"/>
      <w:r>
        <w:rPr>
          <w:rFonts w:hint="eastAsia"/>
        </w:rPr>
        <w:t>财务会计管理</w:t>
      </w:r>
      <w:bookmarkEnd w:id="2"/>
    </w:p>
    <w:p w14:paraId="51DB529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总账系统</w:t>
      </w:r>
    </w:p>
    <w:p w14:paraId="3E04F27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总账系统是财务管理系统中最核心的系统，中心所有的核算最终在总账中体现；总账系统满足新政府会计制度核算要求，以凭证处理为中心，支持凭证录入、审核、记账、结账和打印等基本业务操作，支持科目多重辅助核算，支持现金流量、差异项处理以及期末自动处理科目的结转，并提供多类型、多角度的账簿报表查询；它与各个业务系统无缝链接，通过智能会计平台工具实现业财数据一体化。</w:t>
      </w:r>
    </w:p>
    <w:p w14:paraId="7DCC58B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具体功能包括：总账工作台、凭证管理、账簿、财务报表、现金流量、期末处理、基础资料、初始化、多账簿合并、调整期间业务处理、往来管理等。</w:t>
      </w:r>
    </w:p>
    <w:p w14:paraId="528A165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1.总账工作台</w:t>
      </w:r>
    </w:p>
    <w:p w14:paraId="31ED6FE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包含数字看板和初始化指引工作台功能，总账数字看板支持设置及查看各类财务数据及进行财务数据风险预警。</w:t>
      </w:r>
    </w:p>
    <w:p w14:paraId="210B7C6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总账初始化指引工作台，以任务列表的方式指引新用户学习与总账初始化相关的视频课件、微课件、向导式课件以及相关知识并逐步完成初始化工作。</w:t>
      </w:r>
    </w:p>
    <w:p w14:paraId="581897C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2.凭证管理</w:t>
      </w:r>
    </w:p>
    <w:p w14:paraId="0B728EC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支持财务管理日常记账工作，包括凭证录入、查询、审核、复核、过账、平行记账以及指定差异项等功能。</w:t>
      </w:r>
    </w:p>
    <w:p w14:paraId="6A6FB04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3.账簿</w:t>
      </w:r>
      <w:r>
        <w:rPr>
          <w:rFonts w:hint="eastAsia" w:asciiTheme="minorEastAsia" w:hAnsiTheme="minorEastAsia"/>
          <w:snapToGrid w:val="0"/>
          <w:kern w:val="0"/>
          <w:sz w:val="24"/>
          <w:szCs w:val="24"/>
        </w:rPr>
        <w:tab/>
      </w:r>
    </w:p>
    <w:p w14:paraId="5E95FE2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系统需提供财务日常账务处理使用的以下账簿：总分类账、明细分类账、核算维度明细账、多栏式明细账、数量金额总账、数量金额明细账、总账会计账簿等相关财务工作账簿。</w:t>
      </w:r>
    </w:p>
    <w:p w14:paraId="5331336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4.财务报表</w:t>
      </w:r>
    </w:p>
    <w:p w14:paraId="7413434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系统需提供财务日常账务处理使用的以下报表：科目余额表、试算平衡表、摘要汇总表、核算维度余额表、核算维度与科目组合表、科目多维度分析、差异项明细表、日报表、差异调节表、差异项校验报表。</w:t>
      </w:r>
    </w:p>
    <w:p w14:paraId="0DB8559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5.现金流量</w:t>
      </w:r>
    </w:p>
    <w:p w14:paraId="3C4FC72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支持批量预置科目的现金流量主表项目、附表项目；支持快速批量指定凭证的主表项目以及附表项目；最终现金流量指定结果以现金流量表形式进行展示。</w:t>
      </w:r>
    </w:p>
    <w:p w14:paraId="0A77228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6.期末处理</w:t>
      </w:r>
    </w:p>
    <w:p w14:paraId="5E35115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支持在期末月度业务完结时，进行凭证处理及结转损益，生成损益凭证和审核过账后，对业务系统进行本月期末结账，完成月结，再进入下一个会计期间。</w:t>
      </w:r>
    </w:p>
    <w:p w14:paraId="003D6CF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7.基础资料</w:t>
      </w:r>
    </w:p>
    <w:p w14:paraId="6947CCD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支持设置账簿处理基本要素，如账簿、会计期间、科目、币别、现金流量项目、差异调节表项目等基础档案；</w:t>
      </w:r>
    </w:p>
    <w:p w14:paraId="6DFFCDE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支持维度财务核算的具体维度档案，如经济分类、功能分类等；</w:t>
      </w:r>
    </w:p>
    <w:p w14:paraId="4EE008F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支持设置财务科目匹配预算科目平行记账科目模板设置。</w:t>
      </w:r>
    </w:p>
    <w:p w14:paraId="5E6A3FB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8.初始化</w:t>
      </w:r>
    </w:p>
    <w:p w14:paraId="4A671EF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支持总账启用期间为年度任意期间，支持录入科目期初余额以及期初现金流量数据。</w:t>
      </w:r>
    </w:p>
    <w:p w14:paraId="56FE2FF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9.多账簿合并</w:t>
      </w:r>
    </w:p>
    <w:p w14:paraId="4838F86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多组织合并相关功能，通过设置账簿隶属关系、设置多个账簿的上下级合并关系，支持查询不同合并层级的合并科目余额表，通过合并科目余额表逐级展开各个合并层级的科目期初、本期发生数、本年累计发生数以及期末余额。</w:t>
      </w:r>
    </w:p>
    <w:p w14:paraId="0605B3F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10.调整期间业务处理</w:t>
      </w:r>
    </w:p>
    <w:p w14:paraId="606BBCF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支持在不反结账的情况下，直接对上一年度增加调整期间并录入调整分录，调整期间的凭证过账后，直接更新下一年度各期间的科目余额；包含调整期间凭证录入、查询、过账、结转损益等功能。</w:t>
      </w:r>
    </w:p>
    <w:p w14:paraId="14E224E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11.执行政府会计制度</w:t>
      </w:r>
    </w:p>
    <w:p w14:paraId="21E3530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由预算会计和财务管理构成，预算会计实行收付实现制，财务管理实行权责发生制，会计主体能够编制决算报告和财务报告。自动凭证能处理“平行记账”业务，能够自动判断应指定的差异项，自动指定“本年盈余与预算结余”差异项。</w:t>
      </w:r>
    </w:p>
    <w:p w14:paraId="6E4904D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智能会计平台</w:t>
      </w:r>
    </w:p>
    <w:p w14:paraId="5148E45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智能会计平台支持业财一体化自动生成凭证，支持与各类业务系统（如HIS/HRP）实现智能集成，便捷地采集中心的经济活动信息，通过配置财务凭证模板，实现各类业务系统（如HIS）的单据自动生成财务凭证；同时，能够支持智能化的对账管理，确保账簿记录的真实性和正确性，有效提高账务处理工作的质量和效率。</w:t>
      </w:r>
    </w:p>
    <w:p w14:paraId="21A1940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具体功能包括：智能会计工作台、智能记账、账务处理、对账管理、扫描记账、基础资料等。</w:t>
      </w:r>
    </w:p>
    <w:p w14:paraId="0AC286A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1.智能会计工作台</w:t>
      </w:r>
    </w:p>
    <w:p w14:paraId="7308553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支持智能会计数字看板和智能记账指引工作台功能，数字看板支持设置及查看凭证自动化率和凭证准确率；</w:t>
      </w:r>
    </w:p>
    <w:p w14:paraId="193AC62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支持智能记账指引工作台功能，以任务列表的方式指引新用户学习与智能记账相关的视频课件、微课件、向导式课件以及相关知识并逐步完成智能记账工作。</w:t>
      </w:r>
    </w:p>
    <w:p w14:paraId="110161A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2.智能记账</w:t>
      </w:r>
    </w:p>
    <w:p w14:paraId="1E5A0B9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支持根据用户需求设置业务单据，通过凭证模板在指定的时间自动生成凭证，提高工作效率。</w:t>
      </w:r>
    </w:p>
    <w:p w14:paraId="2E61E70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3.账务处理</w:t>
      </w:r>
    </w:p>
    <w:p w14:paraId="41545EB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支持用户选择业务单据通过已设置的凭证模板自动生成凭证，并提供用户查询校验业务单据凭证生成情况，保证月度账务的完整性。</w:t>
      </w:r>
    </w:p>
    <w:p w14:paraId="50E34E6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4.对账管理</w:t>
      </w:r>
    </w:p>
    <w:p w14:paraId="0CEC1D2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提供业务报表以及业务单据与财务账务的对账功能，以便财务管理发现业务数据与财务数据差异。</w:t>
      </w:r>
    </w:p>
    <w:p w14:paraId="0686E74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5.基础资料</w:t>
      </w:r>
    </w:p>
    <w:p w14:paraId="7F532F3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提供分录类型、凭证模板、凭证模板查询功能，凭证模板支持任意单据按照中心需求设置单据字段以及科目的关联关系，用于自动生成凭证。</w:t>
      </w:r>
    </w:p>
    <w:p w14:paraId="0C5B089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应收款管理</w:t>
      </w:r>
    </w:p>
    <w:p w14:paraId="5149092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应收款管理是管理中心应收往来业务的系统，支持公立医疗机构应收、职工应收、科室应收等收款收入的核算要求，支持应收往来的账龄查询、分析；支持完整的应收业务闭环管理：应收款确认、到期收款、收款核销、期末处理，提高中心应收管理质量。</w:t>
      </w:r>
    </w:p>
    <w:p w14:paraId="108ED5B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具体功能包括：其他应收、收款、应收收款、报表分析、期末处理、账务处理、基础资料、初始化等。</w:t>
      </w:r>
    </w:p>
    <w:p w14:paraId="1B5AC05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1.其他应收</w:t>
      </w:r>
    </w:p>
    <w:p w14:paraId="483CDC4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实现中心除了非主营业务外产生的应收款项，用户多用于维护公医、医保单位的应收账款。</w:t>
      </w:r>
    </w:p>
    <w:p w14:paraId="707E624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2.收款</w:t>
      </w:r>
      <w:r>
        <w:rPr>
          <w:rFonts w:hint="eastAsia" w:asciiTheme="minorEastAsia" w:hAnsiTheme="minorEastAsia"/>
          <w:snapToGrid w:val="0"/>
          <w:kern w:val="0"/>
          <w:sz w:val="24"/>
          <w:szCs w:val="24"/>
        </w:rPr>
        <w:tab/>
      </w:r>
    </w:p>
    <w:p w14:paraId="32D4548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实现中心根据应收款项进行收款的业务，包含应收收款以及应收退款业务，可实现自动核销需求。</w:t>
      </w:r>
    </w:p>
    <w:p w14:paraId="13B8FBE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3.应收收款</w:t>
      </w:r>
    </w:p>
    <w:p w14:paraId="1178733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实现其他应收款项与收款业务的核销功能，提供用户手工核销、根据核销方案自动核销以及核销记录查询功能。</w:t>
      </w:r>
    </w:p>
    <w:p w14:paraId="2E78FD1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4.报表分析</w:t>
      </w:r>
    </w:p>
    <w:p w14:paraId="641A301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用于财务查询应收款项记录及汇总导出，并进行数据汇总，具体包括应收款汇总表，应收款明细表，应收款账龄分析表报表查询功能。</w:t>
      </w:r>
    </w:p>
    <w:p w14:paraId="68BA50B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5.期末处理</w:t>
      </w:r>
    </w:p>
    <w:p w14:paraId="18AD416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支持结账和反结账操作，期间结账后限制录入业务数据。</w:t>
      </w:r>
    </w:p>
    <w:p w14:paraId="5814108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6.账务处理</w:t>
      </w:r>
    </w:p>
    <w:p w14:paraId="4C20A4F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支持应收模块业务单据通过凭证模板设置生成凭证，并提供业务数据生成凭证情况查询。</w:t>
      </w:r>
    </w:p>
    <w:p w14:paraId="05DEA6B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7.基础资料</w:t>
      </w:r>
    </w:p>
    <w:p w14:paraId="6A401D0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维护应收款模块运行的基础资料，包含收款条件，应收收款核销方案，应收开票核销方案。</w:t>
      </w:r>
    </w:p>
    <w:p w14:paraId="7AB9F84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8.初始化</w:t>
      </w:r>
    </w:p>
    <w:p w14:paraId="649AD8A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支持维护的应收款模块的启用期间以及上线节点仍未完全核销的业务数据，包含期初收款单、期初其他应收款以及期初收款退款数据。</w:t>
      </w:r>
    </w:p>
    <w:p w14:paraId="10F72A5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应付款管理</w:t>
      </w:r>
    </w:p>
    <w:p w14:paraId="171CB70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应付款管理是管理中心应付往来业务的系统，支持供应商往来、患者往来、职工往来等中心的核算要求，支持应付往来的账龄查询、分析，支持应付账款与采购、预算、资金等的关联及控制；支持中心完整的应付业务闭环管理：应付款确认、到期付款、付款核销、期末处理，提高中心应付管理质量。</w:t>
      </w:r>
    </w:p>
    <w:p w14:paraId="59C90E8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具体功能包括：采购应付、其他应付、付款、应付付款、应付开票、报表分析、期末处理、账务处理、基础资料、初始化。</w:t>
      </w:r>
    </w:p>
    <w:p w14:paraId="367E297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1.采购应付</w:t>
      </w:r>
    </w:p>
    <w:p w14:paraId="7B60454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处理中心有关物资采购产生的应付款项，支持手工维护应付数据，同时支持采购入库数据、收料数据产生应付数据。</w:t>
      </w:r>
    </w:p>
    <w:p w14:paraId="2E004E4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2.其他应付</w:t>
      </w:r>
    </w:p>
    <w:p w14:paraId="7114DBE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处理中心除物资采购外的应付款项，多用于费用报销的挂账处理，支持手工新增，同时支持费用报销产生其他应付数据。</w:t>
      </w:r>
    </w:p>
    <w:p w14:paraId="0B5B09A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3.付款</w:t>
      </w:r>
    </w:p>
    <w:p w14:paraId="4731A84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实现用户付款业务处理，可根据其他应付数据和应付数据关联处理付款业务，实现自动应付付款自动核销需求。</w:t>
      </w:r>
    </w:p>
    <w:p w14:paraId="26C81F1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4.应付付款</w:t>
      </w:r>
    </w:p>
    <w:p w14:paraId="1D008C7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实现应收款项与付款业务的核销功能，提供用户手工核销、根据核销方案自动核销以及核销记录查询功能。</w:t>
      </w:r>
    </w:p>
    <w:p w14:paraId="3713A44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5.应付开票</w:t>
      </w:r>
    </w:p>
    <w:p w14:paraId="72C3581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支持用户根据实际采购业务入库后、发出订单后等时点确认应付，确认应付后还会收到供应商开具的采购发票。</w:t>
      </w:r>
    </w:p>
    <w:p w14:paraId="585E80B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6.报表分析</w:t>
      </w:r>
    </w:p>
    <w:p w14:paraId="670D1EB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供财务会计查询应付款项及汇总导出，具体包括应付款汇总表、应付款明细表、应付款账龄分析表、往来对账明细表。</w:t>
      </w:r>
    </w:p>
    <w:p w14:paraId="338F9B3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7.期末处理</w:t>
      </w:r>
    </w:p>
    <w:p w14:paraId="08E6DAE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支持结账和反结账操作，期间结账后限制录入业务数据。</w:t>
      </w:r>
    </w:p>
    <w:p w14:paraId="58EC25A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8.账务处理</w:t>
      </w:r>
    </w:p>
    <w:p w14:paraId="0A470A2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支持应付模块业务单据通过凭证模板设置生成凭证，并提供业务数据生成凭证情况查询。</w:t>
      </w:r>
    </w:p>
    <w:p w14:paraId="2A13543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9.基础资料</w:t>
      </w:r>
    </w:p>
    <w:p w14:paraId="7466A5F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维护应付款模块运行的基础资料，包含付款条件，应付付款核销方案，应付开票核销方案、价格维护表。</w:t>
      </w:r>
    </w:p>
    <w:p w14:paraId="2B7D6AC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10</w:t>
      </w:r>
      <w:r>
        <w:rPr>
          <w:rFonts w:asciiTheme="minorEastAsia" w:hAnsiTheme="minorEastAsia"/>
          <w:snapToGrid w:val="0"/>
          <w:kern w:val="0"/>
          <w:sz w:val="24"/>
          <w:szCs w:val="24"/>
        </w:rPr>
        <w:t>.</w:t>
      </w:r>
      <w:r>
        <w:rPr>
          <w:rFonts w:hint="eastAsia" w:asciiTheme="minorEastAsia" w:hAnsiTheme="minorEastAsia"/>
          <w:snapToGrid w:val="0"/>
          <w:kern w:val="0"/>
          <w:sz w:val="24"/>
          <w:szCs w:val="24"/>
        </w:rPr>
        <w:t>初始化</w:t>
      </w:r>
    </w:p>
    <w:p w14:paraId="5D64446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支持维护的应付款模块的启用期间以及上线节点仍未完全核销的业务数据，包含期初付款、期初其他应付款、期初应付款以及期初付款退款数据。</w:t>
      </w:r>
    </w:p>
    <w:p w14:paraId="53244E3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出纳管理</w:t>
      </w:r>
    </w:p>
    <w:p w14:paraId="6107272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出纳管理是中心货币资金收付的管理系统，结合应付款、应收款管理系统，实现应收、应付业务的收付款管理；支持现金、银行存款收付凭证序时逐笔登记现金、银行存款账簿，支持现金和银行存款的相关报表查询，支持银行存款自动对账并自动形成银行存款余额调节表以及未达账核对功能等，促进中心货币资金管理更加准确、精细化。</w:t>
      </w:r>
    </w:p>
    <w:p w14:paraId="053B0BC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具体功能包括：日常处理、现金盘点、票据处理、银行对账、账务处理、日记账、报表、期末处理、基础资料、初始化。</w:t>
      </w:r>
    </w:p>
    <w:p w14:paraId="4026E72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1.日常处理</w:t>
      </w:r>
    </w:p>
    <w:p w14:paraId="4E55C64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供出纳会计进行收付款资金往来业务及操作，具体包括银行转账单、收款单、收款退款单、付款单、付款退款单、付款申请单等功能。</w:t>
      </w:r>
    </w:p>
    <w:p w14:paraId="0B15E99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2.现金盘点</w:t>
      </w:r>
    </w:p>
    <w:p w14:paraId="3510298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支出出纳会计对出纳账进行现金盘点操作，形成现金盘点表并完成现金核对工作。</w:t>
      </w:r>
    </w:p>
    <w:p w14:paraId="7E0454C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3.票据处理</w:t>
      </w:r>
    </w:p>
    <w:p w14:paraId="5333EE6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实现用户处理应付/应付票据以及支票业务的管理。</w:t>
      </w:r>
    </w:p>
    <w:p w14:paraId="26D4EE4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4.银行对账</w:t>
      </w:r>
    </w:p>
    <w:p w14:paraId="43870AF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实现银行对账单的记录跟中心系统银行存款收付款记录进行勾对，以确认银行与中心双方的未达项；支持多种条件自动匹配系统收付款与银行对账单数据，对账结果可通过余额调节表查询。</w:t>
      </w:r>
    </w:p>
    <w:p w14:paraId="4AEC656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5.账务处理</w:t>
      </w:r>
    </w:p>
    <w:p w14:paraId="70F778F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支持出纳管理业务单据通过凭证模板设置生成凭证，并提供业务数据生成凭证情况查询。</w:t>
      </w:r>
    </w:p>
    <w:p w14:paraId="5CAD6A2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6.日记账</w:t>
      </w:r>
    </w:p>
    <w:p w14:paraId="167DD9F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支持根据审核无误的现金收付凭证，按日期逐笔登记的账簿通过日记账报表进行展示，供出纳人员进行查看及核对现金收付数据。具体包括现金日记账、银行存款日记账、手工日记账功能。</w:t>
      </w:r>
    </w:p>
    <w:p w14:paraId="7389997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7.报表</w:t>
      </w:r>
    </w:p>
    <w:p w14:paraId="46ED198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通过出纳报表，出纳可以查询现金日记账，及银行存款记录、应收票据使用流水，以及分析内部账户账龄。</w:t>
      </w:r>
    </w:p>
    <w:p w14:paraId="4E40611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8.期末处理</w:t>
      </w:r>
    </w:p>
    <w:p w14:paraId="245B87B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支持结账和反结账操作，期间结账后限制录入业务数据。</w:t>
      </w:r>
    </w:p>
    <w:p w14:paraId="436B984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9.基础资料</w:t>
      </w:r>
    </w:p>
    <w:p w14:paraId="74EE7C7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维护出纳管理运行的基础资料，包含银行、银行账号、内部账户、收付款用途、现金账号、结算方式、银行网点。</w:t>
      </w:r>
    </w:p>
    <w:p w14:paraId="2013CE6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10.初始化</w:t>
      </w:r>
    </w:p>
    <w:p w14:paraId="2A03687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支持维护的出纳模块的启用期间以及期初业务数据，包含现金期初、银行存款期初。</w:t>
      </w:r>
    </w:p>
    <w:p w14:paraId="58132B9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报表管理</w:t>
      </w:r>
    </w:p>
    <w:p w14:paraId="587E36A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报表管理是帮助用户快速、准确度地编制中心各类财务管理报表的管理工具，报表编辑是类EXCEL报表，用户易上手、学习成本低；支持中心根据监管诉求灵活定义管理报表，可自动产生报表数据；支持表间取数、跨医院、跨年度取数；支持会计报表附注和情况说明的电子化编制，支持自动生成政府会计制度要求的整套报送报表，为中心经济运行分析评价提供决策数据支撑。</w:t>
      </w:r>
    </w:p>
    <w:p w14:paraId="12309C4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具体功能包括：报表工作台、报表管理、查询与分析、基础资料、数据授权。</w:t>
      </w:r>
    </w:p>
    <w:p w14:paraId="1F01FA1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1.报表工作台</w:t>
      </w:r>
    </w:p>
    <w:p w14:paraId="59D2EC0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报表应用指引工作台，以任务列表的方式指引新用户学习与报表设置相关的视频课件、微课件、向导式课件以及相关知识并逐步完成报表设置。</w:t>
      </w:r>
    </w:p>
    <w:p w14:paraId="4266368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2.报表管理</w:t>
      </w:r>
    </w:p>
    <w:p w14:paraId="1ADB0B4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用户可根据自身需求自定义财务报表模板并根据报表模板生成月度、季度、年度报表；支持设置报表自动生成方案，定时根据报表模板自动生成月度、季度、年度报表。</w:t>
      </w:r>
    </w:p>
    <w:p w14:paraId="50E58BF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3.查询与分析</w:t>
      </w:r>
    </w:p>
    <w:p w14:paraId="32D5564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用户可直接在报表编辑器中编制报表格式及取数公式，不需要编制报表模板。支持项目数据查询功能，帮助快速查询和引出所有报表数据，用于二次复杂财务分析。</w:t>
      </w:r>
    </w:p>
    <w:p w14:paraId="16A4799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4.基础资料</w:t>
      </w:r>
    </w:p>
    <w:p w14:paraId="21BB679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维护报表管理运行的基础资料，包含报表项目、项目数据类型、金额单位、项目勾稽关系、项目勾稽关系分配。</w:t>
      </w:r>
    </w:p>
    <w:p w14:paraId="6D842C3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5.数据授权</w:t>
      </w:r>
    </w:p>
    <w:p w14:paraId="2DF150D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对用户或角色设置拥有授权报表模板的权限，数据权限配合报表功能权限一起使用，进而控制到用户或角色拥有授权组织的授权报表的操作权限 。</w:t>
      </w:r>
    </w:p>
    <w:p w14:paraId="2851DCC4">
      <w:pPr>
        <w:pStyle w:val="4"/>
        <w:spacing w:before="156"/>
      </w:pPr>
      <w:bookmarkStart w:id="3" w:name="_Toc734753159"/>
      <w:r>
        <w:rPr>
          <w:rFonts w:hint="eastAsia"/>
        </w:rPr>
        <w:t>预算管理</w:t>
      </w:r>
      <w:bookmarkEnd w:id="3"/>
    </w:p>
    <w:p w14:paraId="6B2228C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管理系统紧密围绕临床检验中心战略目标，建立以资金预算管控为核心的综合型内控管理平台，贯穿预算项目库、预算编制与审批、预算执行与监控、预算分析、预算调整、预算绩效考核等各个环节，支持全口径、全过程、全员性、全方位的预算管理，实现与临床检验中心财务核算、费用报销管理、资产管理、采购管理、合同管理等业务系统一体化管控，服务于中心的管理者、科室、员工，打造科学、精细的一体化现代预算管理模式，全面提升临床检验中心内部管理控制能力。</w:t>
      </w:r>
    </w:p>
    <w:p w14:paraId="6E0A81F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预算库管理</w:t>
      </w:r>
    </w:p>
    <w:p w14:paraId="15015D9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项目库是预算编制的发起点和基础，支持预算项目申报、审批、入库全流程管理。根据预算项目的入库和执行情况分为申报/备选/执行/完结/废止五个状态，实现临床检验中心对预算项目的全生命周期管理。</w:t>
      </w:r>
    </w:p>
    <w:p w14:paraId="6602504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预算编制</w:t>
      </w:r>
    </w:p>
    <w:p w14:paraId="7080612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编制是体现临床检验中心战略发展目标与资源配置的关键环节，支持收入预算、支出预算、项目预算和资金预算等多种预算类型编制，支持业务科室和预算归口部门两种预算编制模式，同时支持固定预算、弹性预算、增量预算、零基预算等多种预算编制方法，帮助临床检验中心更便捷、科学地完成预算编制工作。预算编制完成后，可按预算归口部门和全院维度汇总预算数，结合审批流程实现“两上两下”预算编制流程。</w:t>
      </w:r>
    </w:p>
    <w:p w14:paraId="5FE267E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预算调整</w:t>
      </w:r>
    </w:p>
    <w:p w14:paraId="1D15359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实现预算调整与调剂管理流程，支持对已编制/执行中的预算进行调整或调剂，通过审批流配置，对预算调整流程进行内控管理。</w:t>
      </w:r>
    </w:p>
    <w:p w14:paraId="5573924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预算平衡审查</w:t>
      </w:r>
    </w:p>
    <w:p w14:paraId="358F777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支持对全中心收入预算和支出预算进行预算平衡审查。支持按资金来源进行预算平衡审查，符合“以收定支，收支平衡”的预算管理思想，提高中心收入与支出预算编制的合理性。</w:t>
      </w:r>
    </w:p>
    <w:p w14:paraId="5C2A501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实际数录入</w:t>
      </w:r>
    </w:p>
    <w:p w14:paraId="732A6AD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实际数录入用于记录已发生的预算执行数据，应用场景包括：1.通过预算项目与科目对照，取总账凭证发生数作为预算执行数据。2.针对预算历史数据进行预算执行数据初始化。3.第三方系统预算执行数据对接。满足不同业务场景下预算执行数据的准确性。</w:t>
      </w:r>
    </w:p>
    <w:p w14:paraId="258105E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预算控制</w:t>
      </w:r>
    </w:p>
    <w:p w14:paraId="3D52C20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控制台是支撑预算全过程管控的核心模块，支持与费用报销、采购申请、合同签订等业务模块关联，实现事前和事中预算控制。灵活定义多种控制方式、控制时机和控制强度，将预算控制前移至业务层面，提高预算管控能力和强化临床检验中心内控管理。</w:t>
      </w:r>
    </w:p>
    <w:p w14:paraId="01536F5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预算分析</w:t>
      </w:r>
    </w:p>
    <w:p w14:paraId="3115E11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支持预算数据多维度分析，包括预算项目执行明细分析、预算项目执行汇总分析、预算主管部门执行情况分析、预算绩效考核分析等。满足中心对预算数据分析需求。</w:t>
      </w:r>
    </w:p>
    <w:p w14:paraId="1C094F8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预算绩效考核</w:t>
      </w:r>
    </w:p>
    <w:p w14:paraId="0E77E3A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支持自定义预算绩效考核指标，对预算项目进行绩效目标分解，结构化评分。对预算项目从预算执行情况和预算执行效果两个层面进行预算绩效考核，实现从预算项目入库、预算编制到预算执行与控制的全过程和从预算绩效指标分解、到预算绩效考核的双闭环管理。客观、全面地反映临床检验中心预算管理工作的成效。体现“花钱必有效，无效必问责”的预算绩效考核要求。</w:t>
      </w:r>
    </w:p>
    <w:p w14:paraId="31ADD829">
      <w:pPr>
        <w:pStyle w:val="4"/>
        <w:spacing w:before="156"/>
      </w:pPr>
      <w:bookmarkStart w:id="4" w:name="_Toc965373063"/>
      <w:r>
        <w:rPr>
          <w:rFonts w:hint="eastAsia"/>
        </w:rPr>
        <w:t>费用报销系统</w:t>
      </w:r>
      <w:bookmarkEnd w:id="4"/>
    </w:p>
    <w:p w14:paraId="5F1E90D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报销管理是面向临床检验中心全员的报销平台，支持处理费用申请、借款到费用报销、退款，以及费用二次分配与转移业务等各项业务。支持移动端、PC端多端使用，与预算、出纳、应付系统无缝集成，精细化的个人往来管理。帮助中心费用合理统筹，防止不必要的浪费和支出。</w:t>
      </w:r>
    </w:p>
    <w:p w14:paraId="07679D5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费用申请</w:t>
      </w:r>
    </w:p>
    <w:p w14:paraId="3F05186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费用申请适用于员工发起事前申请，作为事后费用报销、付款的主要报销依据，系统根据业务类型区分为费用申请以及出差申请。出差申请支持经办人代出差人填写申请，支持一单填写多个出差人。系统已预设置数据隔离，用户仅可查看自己的或科室内部的费用申请数据。</w:t>
      </w:r>
    </w:p>
    <w:p w14:paraId="761C416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以下是费用申请的功能应用特色：</w:t>
      </w:r>
    </w:p>
    <w:p w14:paraId="6BDA471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1.支持发票未到业务：费用申请支持员工向中心发起借款申请，可用于发票未到情况下付款业务场景。</w:t>
      </w:r>
    </w:p>
    <w:p w14:paraId="6ADFE7DC">
      <w:pPr>
        <w:adjustRightInd w:val="0"/>
        <w:snapToGrid w:val="0"/>
        <w:spacing w:line="560" w:lineRule="exact"/>
        <w:ind w:firstLine="480" w:firstLineChars="200"/>
        <w:rPr>
          <w:rFonts w:asciiTheme="minorEastAsia" w:hAnsiTheme="minorEastAsia"/>
          <w:snapToGrid w:val="0"/>
          <w:kern w:val="0"/>
          <w:sz w:val="24"/>
          <w:szCs w:val="24"/>
        </w:rPr>
      </w:pPr>
      <w:r>
        <w:rPr>
          <w:rFonts w:asciiTheme="minorEastAsia" w:hAnsiTheme="minorEastAsia"/>
          <w:snapToGrid w:val="0"/>
          <w:kern w:val="0"/>
          <w:sz w:val="24"/>
          <w:szCs w:val="24"/>
        </w:rPr>
        <w:t>2.</w:t>
      </w:r>
      <w:r>
        <w:rPr>
          <w:rFonts w:hint="eastAsia" w:asciiTheme="minorEastAsia" w:hAnsiTheme="minorEastAsia"/>
          <w:snapToGrid w:val="0"/>
          <w:kern w:val="0"/>
          <w:sz w:val="24"/>
          <w:szCs w:val="24"/>
        </w:rPr>
        <w:t>支持预算资金管控：费用申请时支持实时医疗预算、科研预算控制和对应预算联查，包括预算数、预占数、执行数、余额，并支持上传附件作为申请依据。</w:t>
      </w:r>
    </w:p>
    <w:p w14:paraId="70F3B5E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w:t>
      </w:r>
      <w:r>
        <w:rPr>
          <w:rFonts w:asciiTheme="minorEastAsia" w:hAnsiTheme="minorEastAsia"/>
          <w:snapToGrid w:val="0"/>
          <w:kern w:val="0"/>
          <w:sz w:val="24"/>
          <w:szCs w:val="24"/>
        </w:rPr>
        <w:t>.</w:t>
      </w:r>
      <w:r>
        <w:rPr>
          <w:rFonts w:hint="eastAsia" w:asciiTheme="minorEastAsia" w:hAnsiTheme="minorEastAsia"/>
          <w:snapToGrid w:val="0"/>
          <w:kern w:val="0"/>
          <w:sz w:val="24"/>
          <w:szCs w:val="24"/>
        </w:rPr>
        <w:t>支持多级审批管理：支持根据临床检验中心实际情况设置费用申请的多级人员审批，并支持可视化审批流程查看，支持财务用户或审计用户在审批过程中核实调整可申请金额。</w:t>
      </w:r>
    </w:p>
    <w:p w14:paraId="56C6B333">
      <w:pPr>
        <w:adjustRightInd w:val="0"/>
        <w:snapToGrid w:val="0"/>
        <w:spacing w:line="560" w:lineRule="exact"/>
        <w:ind w:firstLine="480" w:firstLineChars="200"/>
        <w:rPr>
          <w:rFonts w:asciiTheme="minorEastAsia" w:hAnsiTheme="minorEastAsia"/>
          <w:snapToGrid w:val="0"/>
          <w:kern w:val="0"/>
          <w:sz w:val="24"/>
          <w:szCs w:val="24"/>
        </w:rPr>
      </w:pPr>
      <w:r>
        <w:rPr>
          <w:rFonts w:asciiTheme="minorEastAsia" w:hAnsiTheme="minorEastAsia"/>
          <w:snapToGrid w:val="0"/>
          <w:kern w:val="0"/>
          <w:sz w:val="24"/>
          <w:szCs w:val="24"/>
        </w:rPr>
        <w:t>4</w:t>
      </w:r>
      <w:r>
        <w:rPr>
          <w:rFonts w:hint="eastAsia" w:asciiTheme="minorEastAsia" w:hAnsiTheme="minorEastAsia"/>
          <w:snapToGrid w:val="0"/>
          <w:kern w:val="0"/>
          <w:sz w:val="24"/>
          <w:szCs w:val="24"/>
        </w:rPr>
        <w:t>.支持借款冲销管理：员工进行费用申请时，可以选择借款申请，在费用实际发生后，进行报销冲借款。支持超额报销以及少额报销两种场景业务场景处理，超额报销需要在冲借款后向员工支付超额部分的费用报销款，少额报销需要在冲借款后将剩余款项归还。</w:t>
      </w:r>
    </w:p>
    <w:p w14:paraId="7235D74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费用报销</w:t>
      </w:r>
    </w:p>
    <w:p w14:paraId="6D7C9D8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费用报销用于员工对已发生的费用提出报销流程的操作，并可用事前的费用申请、出差申请单作为报销依据，由申请单关联生成对应的报销单，根据业务类型分为费用报销单以及差旅费报销单。系统已预设置数据隔离，用户仅可查看自己的或科室内部的费用申请数据。</w:t>
      </w:r>
    </w:p>
    <w:p w14:paraId="11DE9D9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系统支持对私费用报销提供日常费用报销(如话费、职业暴露补贴、差旅费、院内劳务费、市内交通费、职工医疗费等)、费用标准查询等员工费用报销功能，还集成了电子发票，支持从发票拍照自动识别发起报销，简化员工报销填单环节，提升用户体验。</w:t>
      </w:r>
    </w:p>
    <w:p w14:paraId="17E992B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系统支持日常对公支付费用包括：培训费（资料、食宿、场租、合作费）、网络通信费、会议费、租金、广告宣传、咨询费、物业管理费、水电费、保险费、装修费、报刊杂志费、诉讼费、物资及软件采购费用等。</w:t>
      </w:r>
    </w:p>
    <w:p w14:paraId="7BE7DE2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系统支持差旅报销标准：财务人员可根据员工的级别、出差的地区（国家、城市）设置员工每天的住宿标准和出差补助标准，以实现员工在进行差旅报销时相应住宿标准和出差补助不会超标。</w:t>
      </w:r>
    </w:p>
    <w:p w14:paraId="7F6189BD">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以下是费用报销的功能应用特色：</w:t>
      </w:r>
    </w:p>
    <w:p w14:paraId="52566244">
      <w:pPr>
        <w:adjustRightInd w:val="0"/>
        <w:snapToGrid w:val="0"/>
        <w:spacing w:line="560" w:lineRule="exact"/>
        <w:ind w:firstLine="480" w:firstLineChars="200"/>
        <w:rPr>
          <w:rFonts w:asciiTheme="minorEastAsia" w:hAnsiTheme="minorEastAsia"/>
          <w:snapToGrid w:val="0"/>
          <w:kern w:val="0"/>
          <w:sz w:val="24"/>
          <w:szCs w:val="24"/>
        </w:rPr>
      </w:pPr>
      <w:r>
        <w:rPr>
          <w:rFonts w:asciiTheme="minorEastAsia" w:hAnsiTheme="minorEastAsia"/>
          <w:snapToGrid w:val="0"/>
          <w:kern w:val="0"/>
          <w:sz w:val="24"/>
          <w:szCs w:val="24"/>
        </w:rPr>
        <w:t>1.</w:t>
      </w:r>
      <w:r>
        <w:rPr>
          <w:rFonts w:hint="eastAsia" w:asciiTheme="minorEastAsia" w:hAnsiTheme="minorEastAsia"/>
          <w:snapToGrid w:val="0"/>
          <w:kern w:val="0"/>
          <w:sz w:val="24"/>
          <w:szCs w:val="24"/>
        </w:rPr>
        <w:t>支持差旅报销标准管控：差旅费报销可根据已设定的住宿标准和出差补助标准，确认员工出差报销不会超出临床检验中心的住宿和出差补助标准。</w:t>
      </w:r>
    </w:p>
    <w:p w14:paraId="2D78511B">
      <w:pPr>
        <w:adjustRightInd w:val="0"/>
        <w:snapToGrid w:val="0"/>
        <w:spacing w:line="560" w:lineRule="exact"/>
        <w:ind w:firstLine="480" w:firstLineChars="200"/>
        <w:rPr>
          <w:rFonts w:asciiTheme="minorEastAsia" w:hAnsiTheme="minorEastAsia"/>
          <w:snapToGrid w:val="0"/>
          <w:kern w:val="0"/>
          <w:sz w:val="24"/>
          <w:szCs w:val="24"/>
        </w:rPr>
      </w:pPr>
      <w:r>
        <w:rPr>
          <w:rFonts w:asciiTheme="minorEastAsia" w:hAnsiTheme="minorEastAsia"/>
          <w:snapToGrid w:val="0"/>
          <w:kern w:val="0"/>
          <w:sz w:val="24"/>
          <w:szCs w:val="24"/>
        </w:rPr>
        <w:t>2.</w:t>
      </w:r>
      <w:r>
        <w:rPr>
          <w:rFonts w:hint="eastAsia" w:asciiTheme="minorEastAsia" w:hAnsiTheme="minorEastAsia"/>
          <w:snapToGrid w:val="0"/>
          <w:kern w:val="0"/>
          <w:sz w:val="24"/>
          <w:szCs w:val="24"/>
        </w:rPr>
        <w:t>支持预算资金管控：费用报销时支持实时医疗预算、科研预算控制和对应预算联查，包括预算数、预占数、执行数、余额，并支持上传附件作为申请依据。</w:t>
      </w:r>
    </w:p>
    <w:p w14:paraId="531AD91A">
      <w:pPr>
        <w:adjustRightInd w:val="0"/>
        <w:snapToGrid w:val="0"/>
        <w:spacing w:line="560" w:lineRule="exact"/>
        <w:ind w:firstLine="480" w:firstLineChars="200"/>
        <w:rPr>
          <w:rFonts w:asciiTheme="minorEastAsia" w:hAnsiTheme="minorEastAsia"/>
          <w:snapToGrid w:val="0"/>
          <w:kern w:val="0"/>
          <w:sz w:val="24"/>
          <w:szCs w:val="24"/>
        </w:rPr>
      </w:pPr>
      <w:r>
        <w:rPr>
          <w:rFonts w:asciiTheme="minorEastAsia" w:hAnsiTheme="minorEastAsia"/>
          <w:snapToGrid w:val="0"/>
          <w:kern w:val="0"/>
          <w:sz w:val="24"/>
          <w:szCs w:val="24"/>
        </w:rPr>
        <w:t>3.</w:t>
      </w:r>
      <w:r>
        <w:rPr>
          <w:rFonts w:hint="eastAsia" w:asciiTheme="minorEastAsia" w:hAnsiTheme="minorEastAsia"/>
          <w:snapToGrid w:val="0"/>
          <w:kern w:val="0"/>
          <w:sz w:val="24"/>
          <w:szCs w:val="24"/>
        </w:rPr>
        <w:t>支持多级审批管理：支持根据中心实际情况设置费用报销的多级人员审批，并支持可视化审批流程查看，支持财务用户或审计用户在审批过程中核实调整可报销金额。</w:t>
      </w:r>
    </w:p>
    <w:p w14:paraId="1A0082E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账务处理以及报表</w:t>
      </w:r>
    </w:p>
    <w:p w14:paraId="10880AD5">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w:t>
      </w:r>
      <w:r>
        <w:rPr>
          <w:rFonts w:asciiTheme="minorEastAsia" w:hAnsiTheme="minorEastAsia"/>
          <w:snapToGrid w:val="0"/>
          <w:kern w:val="0"/>
          <w:sz w:val="24"/>
          <w:szCs w:val="24"/>
        </w:rPr>
        <w:t>.</w:t>
      </w:r>
      <w:r>
        <w:rPr>
          <w:rFonts w:hint="eastAsia" w:asciiTheme="minorEastAsia" w:hAnsiTheme="minorEastAsia"/>
          <w:snapToGrid w:val="0"/>
          <w:kern w:val="0"/>
          <w:sz w:val="24"/>
          <w:szCs w:val="24"/>
        </w:rPr>
        <w:t>核销管理：用于处理没有按照业务流程执行操作的场景，如报销时没有冲销借款或付款时付款业务单据没有通过费用申请单、报销单关联生成。及时地将业务单据进行核销可避免重复付款的情况。</w:t>
      </w:r>
    </w:p>
    <w:p w14:paraId="1C8CD77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2.报表分析：用于财务对个人借款记录查询及借款跟踪，查看个人费用明细及汇总表，具体包括借款账龄分析表、借款到期预警分析、借款跟踪及费用汇总表、费用明细表功能。</w:t>
      </w:r>
    </w:p>
    <w:p w14:paraId="575A735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账务处理：支持财务人员将已经设置凭证模板的报销业务数据生成业务凭证和总账凭证的操作，用户可根据实际需求选择生成凭证的账务期间以及业务数据的范围，并提供业务单据生成业务凭证和总账凭证的生成情况查询。</w:t>
      </w:r>
    </w:p>
    <w:p w14:paraId="244D8D2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4.期末处理：应收款管理系统的期末处理主要提供关帐、反关帐功能，结账成功则可以下一期间的日常业务。</w:t>
      </w:r>
    </w:p>
    <w:p w14:paraId="1E05973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移动审批</w:t>
      </w:r>
    </w:p>
    <w:p w14:paraId="00CF580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移动审批适用于用于各级领导对下级提交的费用申请单、出差申请单、费用报销单、差旅费报销单单据进行审批，并支持报销单据回退修改操作；同时，审批人可在移动端上查阅报销单附件，保证审批内容的完整性、合规性。</w:t>
      </w:r>
    </w:p>
    <w:p w14:paraId="1BBDEF56">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移动审批对接主流办公软件，进行配置后可用，如企业微信、钉钉、云之家等应用。</w:t>
      </w:r>
    </w:p>
    <w:p w14:paraId="668C02C3">
      <w:pPr>
        <w:spacing w:line="360" w:lineRule="auto"/>
        <w:rPr>
          <w:rFonts w:asciiTheme="minorEastAsia" w:hAnsiTheme="minorEastAsia"/>
          <w:snapToGrid w:val="0"/>
          <w:kern w:val="0"/>
          <w:sz w:val="24"/>
          <w:szCs w:val="28"/>
        </w:rPr>
      </w:pPr>
      <w:r>
        <w:rPr>
          <w:rFonts w:asciiTheme="minorEastAsia" w:hAnsiTheme="minorEastAsia"/>
        </w:rPr>
        <w:drawing>
          <wp:inline distT="0" distB="0" distL="0" distR="0">
            <wp:extent cx="5274310" cy="2689860"/>
            <wp:effectExtent l="0" t="0" r="2540" b="15240"/>
            <wp:docPr id="1895700565" name="图片 1895700565" descr="日程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700565" name="图片 1895700565" descr="日程表&#10;&#10;低可信度描述已自动生成"/>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2689860"/>
                    </a:xfrm>
                    <a:prstGeom prst="rect">
                      <a:avLst/>
                    </a:prstGeom>
                    <a:noFill/>
                  </pic:spPr>
                </pic:pic>
              </a:graphicData>
            </a:graphic>
          </wp:inline>
        </w:drawing>
      </w:r>
    </w:p>
    <w:p w14:paraId="0966572C">
      <w:pPr>
        <w:pStyle w:val="4"/>
        <w:spacing w:before="156"/>
      </w:pPr>
      <w:bookmarkStart w:id="5" w:name="_Toc786116756"/>
      <w:r>
        <w:rPr>
          <w:rFonts w:hint="eastAsia"/>
        </w:rPr>
        <w:t>历史数据迁移</w:t>
      </w:r>
      <w:bookmarkEnd w:id="5"/>
    </w:p>
    <w:p w14:paraId="2959F29F">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旧金蝶EAS 版本HRP财务会计历史数据（基础资料、财务会计所有数据等）迁移到新版HRP财务会计系统中，满足凭证查询、账簿数据连续查询和对数据进行对比分析的需要。</w:t>
      </w:r>
    </w:p>
    <w:p w14:paraId="58DF5561">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迁移方案如下：旧财务系统留存历史多年财务数据，为了完整保存和调用历史财务数据， 需对历史数据迁移并保存在新系统中，做到随时查阅，针对数据迁移。</w:t>
      </w:r>
    </w:p>
    <w:p w14:paraId="7BEDF3C3">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（1）数据迁移目标、原则</w:t>
      </w:r>
    </w:p>
    <w:p w14:paraId="04C18CC8">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保证系统正常运行</w:t>
      </w:r>
    </w:p>
    <w:p w14:paraId="4619D11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在数据转换过程中，由于原有的系统数据的复杂性，给数据转换工作带来了很大的难度，为了在新系统启动后不影响原系统正常的业务，因此数据转换完成后，必须保证新系统的正常运行。</w:t>
      </w:r>
    </w:p>
    <w:p w14:paraId="449D10D9">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保证原有系统在新系统中的独立性</w:t>
      </w:r>
    </w:p>
    <w:p w14:paraId="54AA161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原有系统是独立运行的系统，数据在新系统中虽然是集中存放的，但是各个系统由于存在业务上的差别，数据在逻辑上应当保持一定的独立性。</w:t>
      </w:r>
    </w:p>
    <w:p w14:paraId="7832E0C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（2）系统数据迁移流程</w:t>
      </w:r>
    </w:p>
    <w:p w14:paraId="2493C73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系统切换包括前期调研、数据整理、数据转换、系统切换、运行监控五个阶段。系统切换的整个工作流程如下所示：</w:t>
      </w:r>
    </w:p>
    <w:p w14:paraId="2C14C4B7">
      <w:pPr>
        <w:adjustRightInd w:val="0"/>
        <w:snapToGrid w:val="0"/>
        <w:spacing w:line="360" w:lineRule="auto"/>
        <w:ind w:firstLine="420" w:firstLineChars="200"/>
        <w:rPr>
          <w:rFonts w:asciiTheme="minorEastAsia" w:hAnsiTheme="minorEastAsia"/>
          <w:snapToGrid w:val="0"/>
          <w:szCs w:val="28"/>
        </w:rPr>
      </w:pPr>
      <w:r>
        <w:rPr>
          <w:rFonts w:hint="eastAsia" w:asciiTheme="minorEastAsia" w:hAnsiTheme="minorEastAsia"/>
          <w:snapToGrid w:val="0"/>
          <w:szCs w:val="28"/>
        </w:rPr>
        <w:drawing>
          <wp:inline distT="0" distB="0" distL="114300" distR="114300">
            <wp:extent cx="3933825" cy="2238375"/>
            <wp:effectExtent l="0" t="0" r="9525" b="952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3933825" cy="2238375"/>
                    </a:xfrm>
                    <a:prstGeom prst="rect">
                      <a:avLst/>
                    </a:prstGeom>
                    <a:noFill/>
                    <a:ln>
                      <a:noFill/>
                    </a:ln>
                  </pic:spPr>
                </pic:pic>
              </a:graphicData>
            </a:graphic>
          </wp:inline>
        </w:drawing>
      </w:r>
    </w:p>
    <w:p w14:paraId="588471F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（3）系统数据迁移步骤前期调研</w:t>
      </w:r>
    </w:p>
    <w:p w14:paraId="5BA0EC0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工程师需详细认真阅读旧系统留存文档，来熟悉原有系统，还需要原系统工程师的帮助，对原系统进行彻底的了解，主要从业务上进行梳理，工作量可控（财务系统均是按照会计制度设计，业务数据及报表基本格式一致），主要梳理旧财务系统数据业务流程，按年梳理查看是否存在科目、核算项目的变更等。</w:t>
      </w:r>
    </w:p>
    <w:p w14:paraId="7187C890">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导出数据</w:t>
      </w:r>
    </w:p>
    <w:p w14:paraId="106BB31E">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按月导出旧财务系统凭证、固定资产卡片等数据（旧系统支持数据导出，格式：EXCEL、TXT 等格式）或者直接连接后台数据库直接读取。</w:t>
      </w:r>
    </w:p>
    <w:p w14:paraId="41D7C8AB">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总结旧系统记账规则，梳理原有系统记账规则，针对每年某月规则变化进行标注记录。</w:t>
      </w:r>
    </w:p>
    <w:p w14:paraId="4F0FB74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数据整理</w:t>
      </w:r>
    </w:p>
    <w:p w14:paraId="1F055E6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数据整理就是将原系统数据整理为系统转换程序能够识别的数据。数据整理大致分为两个阶段：第一阶段就是将不同类型来源数据采集备份到统一的数据库中；第二阶段就是将原始数据进行整理，按照不同的要求分类进入不同的中间数据库，为数据转换提供中间数据。</w:t>
      </w:r>
    </w:p>
    <w:p w14:paraId="2A9BBD4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数据整理过程采用以下方法：</w:t>
      </w:r>
    </w:p>
    <w:p w14:paraId="46673B57">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确保原始数据的完整性数据分级过滤</w:t>
      </w:r>
    </w:p>
    <w:p w14:paraId="5DAE6C62">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对照新系统字段导入数据</w:t>
      </w:r>
    </w:p>
    <w:p w14:paraId="4F51CA8C">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根据规则设置新系统记账规则，经过前 4 步，确保了数据完整性、规整性，完全符合新系统规则要求，这样就可与顺利按月或按年把数据导入新系统</w:t>
      </w:r>
    </w:p>
    <w:p w14:paraId="132EE8F4">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个性化报表</w:t>
      </w:r>
    </w:p>
    <w:p w14:paraId="71AB38CA">
      <w:pPr>
        <w:adjustRightInd w:val="0"/>
        <w:snapToGrid w:val="0"/>
        <w:spacing w:line="560" w:lineRule="exact"/>
        <w:ind w:firstLine="480" w:firstLineChars="200"/>
        <w:rPr>
          <w:rFonts w:asciiTheme="minorEastAsia" w:hAnsiTheme="minorEastAsia"/>
          <w:snapToGrid w:val="0"/>
          <w:kern w:val="0"/>
          <w:sz w:val="24"/>
          <w:szCs w:val="24"/>
        </w:rPr>
      </w:pPr>
      <w:r>
        <w:rPr>
          <w:rFonts w:hint="eastAsia" w:asciiTheme="minorEastAsia" w:hAnsiTheme="minorEastAsia"/>
          <w:snapToGrid w:val="0"/>
          <w:kern w:val="0"/>
          <w:sz w:val="24"/>
          <w:szCs w:val="24"/>
        </w:rPr>
        <w:t>针对旧系统定制的个性化报表，可在新的财务系统中进行配置，财务系统是灵活的平台，完全解决自定义报表的限制，可满足临床检验中心报表制作。</w:t>
      </w:r>
    </w:p>
    <w:p w14:paraId="2BF9EBAA">
      <w:pPr>
        <w:pStyle w:val="4"/>
        <w:spacing w:before="156"/>
        <w:rPr>
          <w:highlight w:val="none"/>
        </w:rPr>
      </w:pPr>
      <w:bookmarkStart w:id="6" w:name="_Toc944921748"/>
      <w:r>
        <w:rPr>
          <w:rFonts w:hint="eastAsia"/>
          <w:highlight w:val="none"/>
        </w:rPr>
        <w:t>接口服务及后期运维服务</w:t>
      </w:r>
      <w:bookmarkEnd w:id="6"/>
    </w:p>
    <w:p w14:paraId="446B1CF0">
      <w:pPr>
        <w:adjustRightInd w:val="0"/>
        <w:snapToGrid w:val="0"/>
        <w:spacing w:line="560" w:lineRule="exact"/>
        <w:ind w:firstLine="480" w:firstLineChars="200"/>
        <w:rPr>
          <w:rFonts w:hint="default" w:asciiTheme="minorEastAsia" w:hAnsiTheme="minorEastAsia"/>
          <w:snapToGrid w:val="0"/>
          <w:kern w:val="0"/>
          <w:sz w:val="24"/>
          <w:szCs w:val="24"/>
          <w:highlight w:val="none"/>
          <w:lang w:val="en-US" w:eastAsia="zh-CN"/>
        </w:rPr>
      </w:pPr>
      <w:r>
        <w:rPr>
          <w:rFonts w:hint="eastAsia" w:asciiTheme="minorEastAsia" w:hAnsiTheme="minorEastAsia"/>
          <w:snapToGrid w:val="0"/>
          <w:kern w:val="0"/>
          <w:sz w:val="24"/>
          <w:szCs w:val="24"/>
          <w:highlight w:val="none"/>
          <w:lang w:val="en-US" w:eastAsia="zh-CN"/>
        </w:rPr>
        <w:t>接口服务</w:t>
      </w:r>
    </w:p>
    <w:p w14:paraId="0E65948D">
      <w:pPr>
        <w:adjustRightInd w:val="0"/>
        <w:snapToGrid w:val="0"/>
        <w:spacing w:line="560" w:lineRule="exact"/>
        <w:ind w:firstLine="480" w:firstLineChars="200"/>
        <w:rPr>
          <w:rFonts w:hint="eastAsia" w:asciiTheme="minorEastAsia" w:hAnsiTheme="minorEastAsia"/>
          <w:snapToGrid w:val="0"/>
          <w:kern w:val="0"/>
          <w:sz w:val="24"/>
          <w:szCs w:val="24"/>
        </w:rPr>
      </w:pPr>
      <w:r>
        <w:rPr>
          <w:rFonts w:hint="eastAsia" w:asciiTheme="minorEastAsia" w:hAnsiTheme="minorEastAsia"/>
          <w:snapToGrid w:val="0"/>
          <w:kern w:val="0"/>
          <w:sz w:val="24"/>
          <w:szCs w:val="24"/>
          <w:highlight w:val="none"/>
          <w:lang w:eastAsia="zh-CN"/>
        </w:rPr>
        <w:t>本项目</w:t>
      </w:r>
      <w:r>
        <w:rPr>
          <w:rFonts w:hint="eastAsia" w:asciiTheme="minorEastAsia" w:hAnsiTheme="minorEastAsia"/>
          <w:snapToGrid w:val="0"/>
          <w:kern w:val="0"/>
          <w:sz w:val="24"/>
          <w:szCs w:val="24"/>
          <w:highlight w:val="none"/>
        </w:rPr>
        <w:t>中标单位</w:t>
      </w:r>
      <w:r>
        <w:rPr>
          <w:rFonts w:hint="eastAsia" w:asciiTheme="minorEastAsia" w:hAnsiTheme="minorEastAsia"/>
          <w:snapToGrid w:val="0"/>
          <w:kern w:val="0"/>
          <w:sz w:val="24"/>
          <w:szCs w:val="24"/>
          <w:highlight w:val="none"/>
          <w:lang w:val="en-US" w:eastAsia="zh-CN"/>
        </w:rPr>
        <w:t>免费提供</w:t>
      </w:r>
      <w:r>
        <w:rPr>
          <w:rFonts w:hint="eastAsia" w:asciiTheme="minorEastAsia" w:hAnsiTheme="minorEastAsia"/>
          <w:snapToGrid w:val="0"/>
          <w:kern w:val="0"/>
          <w:sz w:val="24"/>
          <w:szCs w:val="24"/>
          <w:highlight w:val="none"/>
        </w:rPr>
        <w:t>接口</w:t>
      </w:r>
      <w:r>
        <w:rPr>
          <w:rFonts w:hint="eastAsia" w:asciiTheme="minorEastAsia" w:hAnsiTheme="minorEastAsia"/>
          <w:snapToGrid w:val="0"/>
          <w:kern w:val="0"/>
          <w:sz w:val="24"/>
          <w:szCs w:val="24"/>
          <w:highlight w:val="none"/>
          <w:lang w:eastAsia="zh-CN"/>
        </w:rPr>
        <w:t>服务</w:t>
      </w:r>
      <w:r>
        <w:rPr>
          <w:rFonts w:hint="eastAsia" w:asciiTheme="minorEastAsia" w:hAnsiTheme="minorEastAsia"/>
          <w:snapToGrid w:val="0"/>
          <w:kern w:val="0"/>
          <w:sz w:val="24"/>
          <w:szCs w:val="24"/>
          <w:highlight w:val="none"/>
        </w:rPr>
        <w:t>（双方接口对接，厂商之间需要相互配合，按客户实际需求对接无误，</w:t>
      </w:r>
      <w:r>
        <w:rPr>
          <w:rFonts w:hint="eastAsia" w:asciiTheme="minorEastAsia" w:hAnsiTheme="minorEastAsia"/>
          <w:snapToGrid w:val="0"/>
          <w:kern w:val="0"/>
          <w:sz w:val="24"/>
          <w:szCs w:val="24"/>
          <w:highlight w:val="none"/>
          <w:lang w:eastAsia="zh-CN"/>
        </w:rPr>
        <w:t>确保</w:t>
      </w:r>
      <w:r>
        <w:rPr>
          <w:rFonts w:hint="eastAsia" w:asciiTheme="minorEastAsia" w:hAnsiTheme="minorEastAsia"/>
          <w:snapToGrid w:val="0"/>
          <w:kern w:val="0"/>
          <w:sz w:val="24"/>
          <w:szCs w:val="24"/>
          <w:highlight w:val="none"/>
        </w:rPr>
        <w:t>系统正常运行），</w:t>
      </w:r>
      <w:r>
        <w:rPr>
          <w:rFonts w:hint="eastAsia" w:asciiTheme="minorEastAsia" w:hAnsiTheme="minorEastAsia"/>
          <w:snapToGrid w:val="0"/>
          <w:kern w:val="0"/>
          <w:sz w:val="24"/>
          <w:szCs w:val="24"/>
        </w:rPr>
        <w:t>所有需要与其它系统对接的接口问题由业主负责协调其他系统共同解决。</w:t>
      </w:r>
    </w:p>
    <w:p w14:paraId="6499EB38">
      <w:pPr>
        <w:adjustRightInd w:val="0"/>
        <w:snapToGrid w:val="0"/>
        <w:spacing w:line="560" w:lineRule="exact"/>
        <w:ind w:firstLine="480" w:firstLineChars="200"/>
        <w:rPr>
          <w:rFonts w:hint="eastAsia" w:asciiTheme="minorEastAsia" w:hAnsiTheme="minorEastAsia" w:eastAsiaTheme="minorEastAsia"/>
          <w:snapToGrid w:val="0"/>
          <w:kern w:val="0"/>
          <w:sz w:val="24"/>
          <w:szCs w:val="24"/>
          <w:lang w:val="en-US" w:eastAsia="zh-CN"/>
        </w:rPr>
      </w:pPr>
      <w:r>
        <w:rPr>
          <w:rFonts w:hint="eastAsia" w:asciiTheme="minorEastAsia" w:hAnsiTheme="minorEastAsia"/>
          <w:snapToGrid w:val="0"/>
          <w:kern w:val="0"/>
          <w:sz w:val="24"/>
          <w:szCs w:val="24"/>
          <w:lang w:val="en-US" w:eastAsia="zh-CN"/>
        </w:rPr>
        <w:t>运维服务</w:t>
      </w:r>
    </w:p>
    <w:p w14:paraId="4ED9C15D">
      <w:pPr>
        <w:adjustRightInd w:val="0"/>
        <w:snapToGrid w:val="0"/>
        <w:spacing w:line="560" w:lineRule="exact"/>
        <w:ind w:firstLine="480" w:firstLineChars="200"/>
        <w:rPr>
          <w:rFonts w:hint="eastAsia" w:asciiTheme="minorEastAsia" w:hAnsiTheme="minorEastAsia"/>
          <w:snapToGrid w:val="0"/>
          <w:kern w:val="0"/>
          <w:sz w:val="24"/>
          <w:szCs w:val="24"/>
          <w:highlight w:val="none"/>
          <w:lang w:eastAsia="zh-CN"/>
        </w:rPr>
      </w:pPr>
      <w:r>
        <w:rPr>
          <w:rFonts w:hint="eastAsia" w:asciiTheme="minorEastAsia" w:hAnsiTheme="minorEastAsia"/>
          <w:snapToGrid w:val="0"/>
          <w:kern w:val="0"/>
          <w:sz w:val="24"/>
          <w:szCs w:val="24"/>
          <w:highlight w:val="none"/>
        </w:rPr>
        <w:t>在本项目升级改造</w:t>
      </w:r>
      <w:r>
        <w:rPr>
          <w:rFonts w:hint="eastAsia" w:asciiTheme="minorEastAsia" w:hAnsiTheme="minorEastAsia"/>
          <w:snapToGrid w:val="0"/>
          <w:kern w:val="0"/>
          <w:sz w:val="24"/>
          <w:szCs w:val="24"/>
          <w:highlight w:val="none"/>
          <w:lang w:eastAsia="zh-CN"/>
        </w:rPr>
        <w:t>验收合格</w:t>
      </w:r>
      <w:r>
        <w:rPr>
          <w:rFonts w:hint="eastAsia" w:asciiTheme="minorEastAsia" w:hAnsiTheme="minorEastAsia"/>
          <w:snapToGrid w:val="0"/>
          <w:kern w:val="0"/>
          <w:sz w:val="24"/>
          <w:szCs w:val="24"/>
          <w:highlight w:val="none"/>
        </w:rPr>
        <w:t>后</w:t>
      </w:r>
      <w:r>
        <w:rPr>
          <w:rFonts w:hint="eastAsia" w:asciiTheme="minorEastAsia" w:hAnsiTheme="minorEastAsia"/>
          <w:snapToGrid w:val="0"/>
          <w:kern w:val="0"/>
          <w:sz w:val="24"/>
          <w:szCs w:val="24"/>
          <w:highlight w:val="none"/>
          <w:lang w:eastAsia="zh-CN"/>
        </w:rPr>
        <w:t>，</w:t>
      </w:r>
      <w:r>
        <w:rPr>
          <w:rFonts w:hint="eastAsia" w:asciiTheme="minorEastAsia" w:hAnsiTheme="minorEastAsia"/>
          <w:snapToGrid w:val="0"/>
          <w:kern w:val="0"/>
          <w:sz w:val="24"/>
          <w:szCs w:val="24"/>
          <w:highlight w:val="none"/>
        </w:rPr>
        <w:t>免费运维</w:t>
      </w:r>
      <w:r>
        <w:rPr>
          <w:rFonts w:hint="eastAsia" w:asciiTheme="minorEastAsia" w:hAnsiTheme="minorEastAsia"/>
          <w:snapToGrid w:val="0"/>
          <w:kern w:val="0"/>
          <w:sz w:val="24"/>
          <w:szCs w:val="24"/>
          <w:highlight w:val="none"/>
          <w:lang w:val="en-US" w:eastAsia="zh-CN"/>
        </w:rPr>
        <w:t>三</w:t>
      </w:r>
      <w:r>
        <w:rPr>
          <w:rFonts w:hint="eastAsia" w:asciiTheme="minorEastAsia" w:hAnsiTheme="minorEastAsia"/>
          <w:snapToGrid w:val="0"/>
          <w:kern w:val="0"/>
          <w:sz w:val="24"/>
          <w:szCs w:val="24"/>
          <w:highlight w:val="none"/>
        </w:rPr>
        <w:t>年</w:t>
      </w:r>
      <w:r>
        <w:rPr>
          <w:rFonts w:hint="eastAsia" w:asciiTheme="minorEastAsia" w:hAnsiTheme="minorEastAsia"/>
          <w:snapToGrid w:val="0"/>
          <w:kern w:val="0"/>
          <w:sz w:val="24"/>
          <w:szCs w:val="24"/>
          <w:highlight w:val="none"/>
          <w:lang w:val="en-US" w:eastAsia="zh-CN"/>
        </w:rPr>
        <w:t xml:space="preserve"> </w:t>
      </w:r>
      <w:r>
        <w:rPr>
          <w:rFonts w:hint="eastAsia" w:asciiTheme="minorEastAsia" w:hAnsiTheme="minorEastAsia"/>
          <w:snapToGrid w:val="0"/>
          <w:kern w:val="0"/>
          <w:sz w:val="24"/>
          <w:szCs w:val="24"/>
          <w:highlight w:val="none"/>
          <w:lang w:eastAsia="zh-CN"/>
        </w:rPr>
        <w:t>。</w:t>
      </w:r>
    </w:p>
    <w:tbl>
      <w:tblPr>
        <w:tblStyle w:val="5"/>
        <w:tblW w:w="8505"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6378"/>
      </w:tblGrid>
      <w:tr w14:paraId="2C20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127" w:type="dxa"/>
            <w:shd w:val="clear" w:color="auto" w:fill="BFBFBF"/>
            <w:noWrap w:val="0"/>
            <w:vAlign w:val="top"/>
          </w:tcPr>
          <w:p w14:paraId="4E28B42A">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服务内容</w:t>
            </w:r>
          </w:p>
        </w:tc>
        <w:tc>
          <w:tcPr>
            <w:tcW w:w="6378" w:type="dxa"/>
            <w:shd w:val="clear" w:color="auto" w:fill="BFBFBF"/>
            <w:noWrap w:val="0"/>
            <w:vAlign w:val="top"/>
          </w:tcPr>
          <w:p w14:paraId="6820D907">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具体内容</w:t>
            </w:r>
          </w:p>
        </w:tc>
      </w:tr>
      <w:tr w14:paraId="765B2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0"/>
            <w:vAlign w:val="center"/>
          </w:tcPr>
          <w:p w14:paraId="56918393">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公开文档</w:t>
            </w:r>
          </w:p>
        </w:tc>
        <w:tc>
          <w:tcPr>
            <w:tcW w:w="6378" w:type="dxa"/>
            <w:noWrap w:val="0"/>
            <w:vAlign w:val="center"/>
          </w:tcPr>
          <w:p w14:paraId="23E4AD1B">
            <w:pPr>
              <w:pStyle w:val="7"/>
              <w:spacing w:line="540" w:lineRule="exact"/>
              <w:jc w:val="both"/>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客</w:t>
            </w:r>
            <w:r>
              <w:rPr>
                <w:rFonts w:hint="eastAsia" w:asciiTheme="minorEastAsia" w:hAnsiTheme="minorEastAsia" w:eastAsiaTheme="minorEastAsia" w:cstheme="minorEastAsia"/>
                <w:color w:val="auto"/>
                <w:kern w:val="2"/>
                <w:sz w:val="24"/>
                <w:szCs w:val="24"/>
              </w:rPr>
              <w:t>户可通过金蝶网站、微信公众号或其他指定方式查看公开文档。</w:t>
            </w:r>
          </w:p>
        </w:tc>
      </w:tr>
      <w:tr w14:paraId="4B06E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0"/>
            <w:vAlign w:val="center"/>
          </w:tcPr>
          <w:p w14:paraId="23C30561">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客户关怀</w:t>
            </w:r>
          </w:p>
        </w:tc>
        <w:tc>
          <w:tcPr>
            <w:tcW w:w="6378" w:type="dxa"/>
            <w:noWrap w:val="0"/>
            <w:vAlign w:val="center"/>
          </w:tcPr>
          <w:p w14:paraId="294AB700">
            <w:pPr>
              <w:spacing w:line="5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通过电话、邮件主动了解用户的需求及应用情况。</w:t>
            </w:r>
          </w:p>
        </w:tc>
      </w:tr>
      <w:tr w14:paraId="73DF5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127" w:type="dxa"/>
            <w:noWrap w:val="0"/>
            <w:vAlign w:val="center"/>
          </w:tcPr>
          <w:p w14:paraId="5591D18A">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400热线服务</w:t>
            </w:r>
          </w:p>
        </w:tc>
        <w:tc>
          <w:tcPr>
            <w:tcW w:w="6378" w:type="dxa"/>
            <w:noWrap w:val="0"/>
            <w:vAlign w:val="center"/>
          </w:tcPr>
          <w:p w14:paraId="020CB7F1">
            <w:pPr>
              <w:spacing w:line="0" w:lineRule="atLeas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用户通过400热线免费支持，金蝶医疗通过热线指导用户在使用过程中遇到的产品应用问题。</w:t>
            </w:r>
          </w:p>
        </w:tc>
      </w:tr>
      <w:tr w14:paraId="240D1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noWrap w:val="0"/>
            <w:vAlign w:val="center"/>
          </w:tcPr>
          <w:p w14:paraId="256896E4">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用户刊物</w:t>
            </w:r>
          </w:p>
        </w:tc>
        <w:tc>
          <w:tcPr>
            <w:tcW w:w="6378" w:type="dxa"/>
            <w:noWrap w:val="0"/>
            <w:vAlign w:val="center"/>
          </w:tcPr>
          <w:p w14:paraId="776319EC">
            <w:pPr>
              <w:spacing w:line="5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不定期推送用户刊物，用户刊物包括书面刊物和电子刊物。</w:t>
            </w:r>
          </w:p>
        </w:tc>
      </w:tr>
      <w:tr w14:paraId="355F5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127" w:type="dxa"/>
            <w:noWrap w:val="0"/>
            <w:vAlign w:val="center"/>
          </w:tcPr>
          <w:p w14:paraId="433CFD89">
            <w:pPr>
              <w:spacing w:line="5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用户协会活动</w:t>
            </w:r>
          </w:p>
        </w:tc>
        <w:tc>
          <w:tcPr>
            <w:tcW w:w="6378" w:type="dxa"/>
            <w:noWrap w:val="0"/>
            <w:vAlign w:val="center"/>
          </w:tcPr>
          <w:p w14:paraId="561732FC">
            <w:pPr>
              <w:spacing w:line="0" w:lineRule="atLeas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举办用户协会的活动，进行新产品功能的介绍，技术交流，现场解答疑难问题。</w:t>
            </w:r>
          </w:p>
        </w:tc>
      </w:tr>
      <w:tr w14:paraId="11D43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trPr>
        <w:tc>
          <w:tcPr>
            <w:tcW w:w="2127" w:type="dxa"/>
            <w:noWrap w:val="0"/>
            <w:vAlign w:val="center"/>
          </w:tcPr>
          <w:p w14:paraId="3FE155FF">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应用支持</w:t>
            </w:r>
          </w:p>
        </w:tc>
        <w:tc>
          <w:tcPr>
            <w:tcW w:w="6378" w:type="dxa"/>
            <w:noWrap w:val="0"/>
            <w:vAlign w:val="center"/>
          </w:tcPr>
          <w:p w14:paraId="27D853F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电话咨询解答、技术文档解答、应用软件操作指导</w:t>
            </w:r>
          </w:p>
        </w:tc>
      </w:tr>
      <w:tr w14:paraId="35A5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2127" w:type="dxa"/>
            <w:noWrap w:val="0"/>
            <w:vAlign w:val="center"/>
          </w:tcPr>
          <w:p w14:paraId="4BDEA6AA">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故障管理</w:t>
            </w:r>
          </w:p>
        </w:tc>
        <w:tc>
          <w:tcPr>
            <w:tcW w:w="6378" w:type="dxa"/>
            <w:noWrap w:val="0"/>
            <w:vAlign w:val="center"/>
          </w:tcPr>
          <w:p w14:paraId="0E0B14BD">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应用软件故障导致的死机、数据错误的分析与处理</w:t>
            </w:r>
          </w:p>
        </w:tc>
      </w:tr>
      <w:tr w14:paraId="7FE5F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trPr>
        <w:tc>
          <w:tcPr>
            <w:tcW w:w="2127" w:type="dxa"/>
            <w:noWrap w:val="0"/>
            <w:vAlign w:val="center"/>
          </w:tcPr>
          <w:p w14:paraId="2B673715">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BUG管理</w:t>
            </w:r>
          </w:p>
        </w:tc>
        <w:tc>
          <w:tcPr>
            <w:tcW w:w="6378" w:type="dxa"/>
            <w:noWrap w:val="0"/>
            <w:vAlign w:val="center"/>
          </w:tcPr>
          <w:p w14:paraId="11A3EE96">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应用软件程序算法或其他逻辑错误的纠正管理</w:t>
            </w:r>
          </w:p>
        </w:tc>
      </w:tr>
      <w:tr w14:paraId="768D7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trPr>
        <w:tc>
          <w:tcPr>
            <w:tcW w:w="2127" w:type="dxa"/>
            <w:noWrap w:val="0"/>
            <w:vAlign w:val="center"/>
          </w:tcPr>
          <w:p w14:paraId="44A465A8">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配置管理</w:t>
            </w:r>
          </w:p>
        </w:tc>
        <w:tc>
          <w:tcPr>
            <w:tcW w:w="6378" w:type="dxa"/>
            <w:noWrap w:val="0"/>
            <w:vAlign w:val="center"/>
          </w:tcPr>
          <w:p w14:paraId="5CE8C314">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针对具体的业务应用，进行软件的配置管理</w:t>
            </w:r>
          </w:p>
        </w:tc>
      </w:tr>
    </w:tbl>
    <w:p w14:paraId="4B3B6AB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CFC63"/>
    <w:multiLevelType w:val="multilevel"/>
    <w:tmpl w:val="2CBCFC63"/>
    <w:lvl w:ilvl="0" w:tentative="0">
      <w:start w:val="1"/>
      <w:numFmt w:val="chineseCounting"/>
      <w:pStyle w:val="2"/>
      <w:suff w:val="nothing"/>
      <w:lvlText w:val="第%1章 "/>
      <w:lvlJc w:val="left"/>
      <w:pPr>
        <w:ind w:left="432" w:hanging="432"/>
      </w:pPr>
      <w:rPr>
        <w:rFonts w:hint="eastAsia"/>
      </w:rPr>
    </w:lvl>
    <w:lvl w:ilvl="1" w:tentative="0">
      <w:start w:val="1"/>
      <w:numFmt w:val="decimal"/>
      <w:pStyle w:val="3"/>
      <w:isLgl/>
      <w:lvlText w:val="%1.%2."/>
      <w:lvlJc w:val="left"/>
      <w:pPr>
        <w:ind w:left="8513" w:hanging="575"/>
      </w:pPr>
      <w:rPr>
        <w:rFonts w:hint="default" w:ascii="Arial" w:hAnsi="Arial" w:cs="Arial"/>
      </w:rPr>
    </w:lvl>
    <w:lvl w:ilvl="2" w:tentative="0">
      <w:start w:val="1"/>
      <w:numFmt w:val="decimal"/>
      <w:pStyle w:val="4"/>
      <w:isLgl/>
      <w:lvlText w:val="%1.%2.%3."/>
      <w:lvlJc w:val="left"/>
      <w:pPr>
        <w:ind w:left="720" w:hanging="720"/>
      </w:pPr>
      <w:rPr>
        <w:rFonts w:hint="default" w:ascii="Arial" w:hAnsi="Arial" w:cs="Arial"/>
      </w:rPr>
    </w:lvl>
    <w:lvl w:ilvl="3" w:tentative="0">
      <w:start w:val="1"/>
      <w:numFmt w:val="decimal"/>
      <w:isLgl/>
      <w:lvlText w:val="%1.%2.%3.%4."/>
      <w:lvlJc w:val="left"/>
      <w:pPr>
        <w:ind w:left="864" w:hanging="864"/>
      </w:pPr>
      <w:rPr>
        <w:rFonts w:hint="default" w:ascii="Arial" w:hAnsi="Arial" w:cs="Arial"/>
        <w:b w:val="0"/>
        <w:bCs w:val="0"/>
      </w:rPr>
    </w:lvl>
    <w:lvl w:ilvl="4" w:tentative="0">
      <w:start w:val="1"/>
      <w:numFmt w:val="decimal"/>
      <w:isLgl/>
      <w:lvlText w:val="%1.%2.%3.%4.%5."/>
      <w:lvlJc w:val="left"/>
      <w:pPr>
        <w:ind w:left="1008" w:hanging="1008"/>
      </w:pPr>
      <w:rPr>
        <w:rFonts w:hint="default" w:ascii="Arial" w:hAnsi="Arial" w:cs="Arial"/>
      </w:rPr>
    </w:lvl>
    <w:lvl w:ilvl="5" w:tentative="0">
      <w:start w:val="1"/>
      <w:numFmt w:val="decimal"/>
      <w:isLgl/>
      <w:lvlText w:val="%1.%2.%3.%4.%5.%6."/>
      <w:lvlJc w:val="left"/>
      <w:pPr>
        <w:ind w:left="1151" w:hanging="1151"/>
      </w:pPr>
      <w:rPr>
        <w:rFonts w:hint="eastAsia"/>
      </w:rPr>
    </w:lvl>
    <w:lvl w:ilvl="6" w:tentative="0">
      <w:start w:val="1"/>
      <w:numFmt w:val="decimal"/>
      <w:isLgl/>
      <w:lvlText w:val="%1.%2.%3.%4.%5.%6.%7."/>
      <w:lvlJc w:val="left"/>
      <w:pPr>
        <w:ind w:left="1296" w:hanging="1296"/>
      </w:pPr>
      <w:rPr>
        <w:rFonts w:hint="eastAsia"/>
      </w:rPr>
    </w:lvl>
    <w:lvl w:ilvl="7" w:tentative="0">
      <w:start w:val="1"/>
      <w:numFmt w:val="decimal"/>
      <w:isLgl/>
      <w:lvlText w:val="%1.%2.%3.%4.%5.%6.%7.%8."/>
      <w:lvlJc w:val="left"/>
      <w:pPr>
        <w:ind w:left="1440" w:hanging="1440"/>
      </w:pPr>
      <w:rPr>
        <w:rFonts w:hint="eastAsia"/>
      </w:rPr>
    </w:lvl>
    <w:lvl w:ilvl="8" w:tentative="0">
      <w:start w:val="1"/>
      <w:numFmt w:val="decimal"/>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576832"/>
    <w:rsid w:val="4DDD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numPr>
        <w:ilvl w:val="0"/>
        <w:numId w:val="1"/>
      </w:numPr>
      <w:spacing w:beforeLines="50" w:afterLines="50" w:line="360" w:lineRule="auto"/>
      <w:ind w:left="431" w:hanging="431"/>
      <w:jc w:val="center"/>
      <w:outlineLvl w:val="0"/>
    </w:pPr>
    <w:rPr>
      <w:rFonts w:ascii="黑体" w:hAnsi="黑体" w:eastAsia="黑体" w:cs="Times New Roman"/>
      <w:b/>
      <w:bCs/>
      <w:kern w:val="44"/>
      <w:sz w:val="36"/>
      <w:szCs w:val="36"/>
    </w:rPr>
  </w:style>
  <w:style w:type="paragraph" w:styleId="3">
    <w:name w:val="heading 2"/>
    <w:basedOn w:val="1"/>
    <w:next w:val="1"/>
    <w:unhideWhenUsed/>
    <w:qFormat/>
    <w:uiPriority w:val="9"/>
    <w:pPr>
      <w:keepNext/>
      <w:keepLines/>
      <w:numPr>
        <w:ilvl w:val="1"/>
        <w:numId w:val="1"/>
      </w:numPr>
      <w:spacing w:beforeLines="50" w:afterLines="50" w:line="360" w:lineRule="auto"/>
      <w:ind w:left="575"/>
      <w:outlineLvl w:val="1"/>
    </w:pPr>
    <w:rPr>
      <w:rFonts w:ascii="黑体" w:hAnsi="黑体" w:eastAsia="黑体" w:cstheme="majorBidi"/>
      <w:b/>
      <w:bCs/>
      <w:sz w:val="32"/>
      <w:szCs w:val="32"/>
    </w:rPr>
  </w:style>
  <w:style w:type="paragraph" w:styleId="4">
    <w:name w:val="heading 3"/>
    <w:basedOn w:val="1"/>
    <w:next w:val="1"/>
    <w:unhideWhenUsed/>
    <w:qFormat/>
    <w:uiPriority w:val="0"/>
    <w:pPr>
      <w:keepNext/>
      <w:keepLines/>
      <w:numPr>
        <w:ilvl w:val="2"/>
        <w:numId w:val="1"/>
      </w:numPr>
      <w:tabs>
        <w:tab w:val="left" w:pos="1418"/>
      </w:tabs>
      <w:spacing w:beforeLines="50" w:line="360" w:lineRule="auto"/>
      <w:outlineLvl w:val="2"/>
    </w:pPr>
    <w:rPr>
      <w:rFonts w:asciiTheme="minorEastAsia" w:hAnsiTheme="minorEastAsia"/>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8497</Words>
  <Characters>8596</Characters>
  <Lines>0</Lines>
  <Paragraphs>0</Paragraphs>
  <TotalTime>0</TotalTime>
  <ScaleCrop>false</ScaleCrop>
  <LinksUpToDate>false</LinksUpToDate>
  <CharactersWithSpaces>8604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2025-05-12T07:52:00Z</dcterms:created>
  <dc:creator>Administrator</dc:creator>
  <cp:lastModifiedBy>木日勿之大</cp:lastModifiedBy>
  <dcterms:modified xsi:type="dcterms:W3CDTF">2025-05-13T03:13:30Z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eyJoZGlkIjoiZjQzNTVkZDM4MzU2MDIyODFjZDJlMTVkOWMxMzk5ZDYiLCJ1c2VySWQiOiIzMTM5ODA4NjcifQ==</vt:lpwstr>
  </property>
  <property fmtid="{D5CDD505-2E9C-101B-9397-08002B2CF9AE}" pid="4" name="ICV">
    <vt:lpwstr>C90EBAB9311B41D58C3DE5BA24151C8B_12</vt:lpwstr>
  </property>
</Properties>
</file>