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D0067">
      <w:pPr>
        <w:pStyle w:val="3"/>
        <w:bidi w:val="0"/>
        <w:jc w:val="center"/>
        <w:rPr>
          <w:b/>
          <w:bCs/>
          <w:sz w:val="28"/>
          <w:szCs w:val="28"/>
        </w:rPr>
      </w:pPr>
      <w:bookmarkStart w:id="0" w:name="_Toc13245"/>
      <w:bookmarkStart w:id="1" w:name="_Toc21458"/>
      <w:r>
        <w:rPr>
          <w:rFonts w:hint="eastAsia"/>
          <w:sz w:val="30"/>
          <w:szCs w:val="30"/>
          <w:lang w:val="en-US" w:eastAsia="zh-CN"/>
        </w:rPr>
        <w:t>（一）采购内容</w:t>
      </w:r>
      <w:bookmarkEnd w:id="0"/>
      <w:bookmarkEnd w:id="1"/>
    </w:p>
    <w:p w14:paraId="05A6388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24"/>
          <w:szCs w:val="24"/>
          <w:lang w:val="en-US" w:eastAsia="zh-CN"/>
        </w:rPr>
      </w:pPr>
      <w:r>
        <w:rPr>
          <w:rFonts w:hint="eastAsia"/>
          <w:sz w:val="24"/>
          <w:szCs w:val="24"/>
          <w:lang w:val="en-US" w:eastAsia="zh-CN"/>
        </w:rPr>
        <w:t>资质要求</w:t>
      </w:r>
    </w:p>
    <w:p w14:paraId="058132A2">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highlight w:val="yellow"/>
          <w:lang w:val="en-US" w:eastAsia="zh-CN"/>
        </w:rPr>
      </w:pPr>
      <w:r>
        <w:rPr>
          <w:rFonts w:hint="eastAsia"/>
          <w:sz w:val="24"/>
          <w:szCs w:val="24"/>
          <w:highlight w:val="yellow"/>
          <w:lang w:val="en-US" w:eastAsia="zh-CN"/>
        </w:rPr>
        <w:t>供应商需提供自2022年1月1日至今三维海容气动物流系统传输瓶的供货合同至少一份，保证传输瓶适配本院区气动物流传输系统。</w:t>
      </w:r>
    </w:p>
    <w:p w14:paraId="27236957">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highlight w:val="yellow"/>
          <w:lang w:val="en-US" w:eastAsia="zh-CN"/>
        </w:rPr>
      </w:pPr>
      <w:r>
        <w:rPr>
          <w:rFonts w:hint="eastAsia"/>
          <w:sz w:val="24"/>
          <w:szCs w:val="24"/>
          <w:highlight w:val="yellow"/>
          <w:lang w:val="en-US" w:eastAsia="zh-CN"/>
        </w:rPr>
        <w:t>供应商的营业执照经营范围内包含机电自动化设备的生产或销售资格。</w:t>
      </w:r>
    </w:p>
    <w:p w14:paraId="039CE0B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24"/>
          <w:szCs w:val="24"/>
          <w:lang w:val="en-US" w:eastAsia="zh-CN"/>
        </w:rPr>
      </w:pPr>
      <w:r>
        <w:rPr>
          <w:rFonts w:hint="eastAsia"/>
          <w:sz w:val="24"/>
          <w:szCs w:val="24"/>
          <w:lang w:val="en-US" w:eastAsia="zh-CN"/>
        </w:rPr>
        <w:t>采购方法：综合评分（平均价偏离）。</w:t>
      </w:r>
    </w:p>
    <w:p w14:paraId="3A08EAD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24"/>
          <w:szCs w:val="24"/>
          <w:lang w:val="en-US" w:eastAsia="zh-CN"/>
        </w:rPr>
      </w:pPr>
      <w:r>
        <w:rPr>
          <w:rFonts w:hint="eastAsia"/>
          <w:sz w:val="24"/>
          <w:szCs w:val="24"/>
          <w:lang w:val="en-US" w:eastAsia="zh-CN"/>
        </w:rPr>
        <w:t>基本规格</w:t>
      </w:r>
    </w:p>
    <w:p w14:paraId="3C866156">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eastAsia"/>
          <w:sz w:val="24"/>
          <w:szCs w:val="24"/>
          <w:lang w:val="en-US" w:eastAsia="zh-CN"/>
        </w:rPr>
        <w:t>用途：</w:t>
      </w:r>
      <w:r>
        <w:rPr>
          <w:rFonts w:hint="default"/>
          <w:sz w:val="24"/>
          <w:szCs w:val="24"/>
          <w:lang w:val="en-US" w:eastAsia="zh-CN"/>
        </w:rPr>
        <w:t>物流传输瓶是传输物品的载体，任何要传输的物品必须放到传输瓶内才可以进行物品的传输。可传输的物品有化验标本、药品、报告单、会诊单、出入院结算单、以及其他的单据和物品等等。</w:t>
      </w:r>
    </w:p>
    <w:p w14:paraId="7B3F5C58">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default"/>
          <w:sz w:val="24"/>
          <w:szCs w:val="24"/>
          <w:lang w:val="en-US" w:eastAsia="zh-CN"/>
        </w:rPr>
        <w:t>瓶头：为ABS材质具有高抗冲击性冲击强度可达10-40 瓶头：为ABS材质具有高抗冲击性冲击强度可达10-40 kJ/m²；高硬度和表面耐磨性；尺寸稳定性：收缩率低（0.4%-0.9%），蠕变性小。</w:t>
      </w:r>
    </w:p>
    <w:p w14:paraId="431466DE">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default"/>
          <w:sz w:val="24"/>
          <w:szCs w:val="24"/>
          <w:lang w:val="en-US" w:eastAsia="zh-CN"/>
        </w:rPr>
        <w:t>瓶身：透明PC管高透光性；优异耐候性能长期耐受紫外线照射、高湿度及温度变化；高机械强度抗冲击性能极佳，低温环境下仍保持韧性；耐化学腐蚀对弱酸、弱碱、中性油及部分有机溶剂有良好耐受性；适用温度范围广常规使用温度-60℃至120℃。</w:t>
      </w:r>
    </w:p>
    <w:p w14:paraId="0D373A7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eastAsia"/>
          <w:sz w:val="24"/>
          <w:szCs w:val="24"/>
          <w:lang w:val="en-US" w:eastAsia="zh-CN"/>
        </w:rPr>
        <w:t>瓶体规格型号：ST160；</w:t>
      </w:r>
    </w:p>
    <w:p w14:paraId="7F9B1FB4">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color w:val="auto"/>
          <w:sz w:val="24"/>
          <w:szCs w:val="24"/>
          <w:highlight w:val="none"/>
          <w:lang w:val="en-US" w:eastAsia="zh-CN"/>
        </w:rPr>
      </w:pPr>
      <w:r>
        <w:rPr>
          <w:rFonts w:hint="eastAsia"/>
          <w:color w:val="auto"/>
          <w:sz w:val="24"/>
          <w:szCs w:val="24"/>
          <w:highlight w:val="none"/>
          <w:lang w:val="en-US" w:eastAsia="zh-CN"/>
        </w:rPr>
        <w:t>承载量：5KG；</w:t>
      </w:r>
    </w:p>
    <w:p w14:paraId="246B9777">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default"/>
          <w:sz w:val="24"/>
          <w:szCs w:val="24"/>
          <w:lang w:val="en-US" w:eastAsia="zh-CN"/>
        </w:rPr>
        <w:t>尺寸：内径120mm，长度390mm ；</w:t>
      </w:r>
    </w:p>
    <w:p w14:paraId="5D82DEAD">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lang w:val="en-US" w:eastAsia="zh-CN"/>
        </w:rPr>
      </w:pPr>
      <w:r>
        <w:rPr>
          <w:rFonts w:hint="default"/>
          <w:sz w:val="24"/>
          <w:szCs w:val="24"/>
          <w:lang w:val="en-US" w:eastAsia="zh-CN"/>
        </w:rPr>
        <w:t>特点：自闭式载物桶，两端有双旋盖，保护圈，密封性能好，可防止液体漏出；</w:t>
      </w:r>
    </w:p>
    <w:p w14:paraId="5578384B">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highlight w:val="none"/>
          <w:lang w:val="en-US" w:eastAsia="zh-CN"/>
        </w:rPr>
      </w:pPr>
      <w:r>
        <w:rPr>
          <w:rFonts w:hint="eastAsia"/>
          <w:sz w:val="24"/>
          <w:szCs w:val="24"/>
          <w:highlight w:val="none"/>
          <w:lang w:val="en-US" w:eastAsia="zh-CN"/>
        </w:rPr>
        <w:t>供货商提供的传输瓶需适配秀山院区三维海容气动物流系统，质保至少一年。</w:t>
      </w:r>
    </w:p>
    <w:p w14:paraId="22780FC1">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highlight w:val="none"/>
          <w:lang w:val="en-US" w:eastAsia="zh-CN"/>
        </w:rPr>
      </w:pPr>
      <w:r>
        <w:rPr>
          <w:rFonts w:hint="eastAsia" w:ascii="Calibri" w:hAnsi="Calibri" w:eastAsia="宋体" w:cs="Times New Roman"/>
          <w:kern w:val="2"/>
          <w:sz w:val="24"/>
          <w:szCs w:val="24"/>
          <w:highlight w:val="none"/>
          <w:lang w:val="en-US" w:eastAsia="zh-CN" w:bidi="ar-SA"/>
        </w:rPr>
        <w:t>供应商需</w:t>
      </w:r>
      <w:r>
        <w:rPr>
          <w:rFonts w:ascii="Calibri" w:hAnsi="Calibri" w:eastAsia="宋体" w:cs="Times New Roman"/>
          <w:kern w:val="2"/>
          <w:sz w:val="24"/>
          <w:szCs w:val="24"/>
          <w:highlight w:val="none"/>
          <w:lang w:bidi="ar-SA"/>
        </w:rPr>
        <w:t>必须携带样品至</w:t>
      </w:r>
      <w:r>
        <w:rPr>
          <w:rFonts w:hint="eastAsia" w:ascii="Calibri" w:hAnsi="Calibri" w:eastAsia="宋体" w:cs="Times New Roman"/>
          <w:kern w:val="2"/>
          <w:sz w:val="24"/>
          <w:szCs w:val="24"/>
          <w:highlight w:val="none"/>
          <w:lang w:val="en-US" w:eastAsia="zh-CN" w:bidi="ar-SA"/>
        </w:rPr>
        <w:t>招标</w:t>
      </w:r>
      <w:r>
        <w:rPr>
          <w:rFonts w:ascii="Calibri" w:hAnsi="Calibri" w:eastAsia="宋体" w:cs="Times New Roman"/>
          <w:kern w:val="2"/>
          <w:sz w:val="24"/>
          <w:szCs w:val="24"/>
          <w:highlight w:val="none"/>
          <w:lang w:bidi="ar-SA"/>
        </w:rPr>
        <w:t>现场，由专业人员进行评估以确认是否与院区的三维海容气动物流系统兼容。</w:t>
      </w:r>
    </w:p>
    <w:p w14:paraId="0F49E5B3">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default"/>
          <w:sz w:val="24"/>
          <w:szCs w:val="24"/>
          <w:lang w:val="en-US" w:eastAsia="zh-CN"/>
        </w:rPr>
      </w:pPr>
      <w:r>
        <w:rPr>
          <w:rFonts w:hint="eastAsia"/>
          <w:sz w:val="24"/>
          <w:szCs w:val="24"/>
          <w:lang w:val="en-US" w:eastAsia="zh-CN"/>
        </w:rPr>
        <w:t>产品特点</w:t>
      </w:r>
    </w:p>
    <w:p w14:paraId="1EAF7E74">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lang w:val="en-US" w:eastAsia="zh-CN"/>
        </w:rPr>
      </w:pPr>
      <w:r>
        <w:rPr>
          <w:rFonts w:hint="eastAsia"/>
          <w:sz w:val="24"/>
          <w:szCs w:val="24"/>
          <w:lang w:val="en-US" w:eastAsia="zh-CN"/>
        </w:rPr>
        <w:t>摩擦带：6mm厚度毛刷传输阻力小，高耐磨尼龙材质，毛刷状使传输更平稳。</w:t>
      </w:r>
    </w:p>
    <w:p w14:paraId="3E08536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lang w:val="en-US" w:eastAsia="zh-CN"/>
        </w:rPr>
      </w:pPr>
      <w:r>
        <w:rPr>
          <w:rFonts w:hint="default"/>
          <w:sz w:val="24"/>
          <w:szCs w:val="24"/>
          <w:lang w:val="en-US" w:eastAsia="zh-CN"/>
        </w:rPr>
        <w:t>智能芯片</w:t>
      </w:r>
      <w:r>
        <w:rPr>
          <w:rFonts w:hint="eastAsia"/>
          <w:sz w:val="24"/>
          <w:szCs w:val="24"/>
          <w:lang w:val="en-US" w:eastAsia="zh-CN"/>
        </w:rPr>
        <w:t>：传输瓶自带芯片，用于定位，自动返回，型号为125KHZ-K4。</w:t>
      </w:r>
    </w:p>
    <w:p w14:paraId="1CFAA2DA">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lang w:val="en-US" w:eastAsia="zh-CN"/>
        </w:rPr>
      </w:pPr>
      <w:r>
        <w:rPr>
          <w:rFonts w:hint="default"/>
          <w:sz w:val="24"/>
          <w:szCs w:val="24"/>
          <w:lang w:val="en-US" w:eastAsia="zh-CN"/>
        </w:rPr>
        <w:t>旋转瓶盖</w:t>
      </w:r>
      <w:r>
        <w:rPr>
          <w:rFonts w:hint="eastAsia"/>
          <w:sz w:val="24"/>
          <w:szCs w:val="24"/>
          <w:lang w:val="en-US" w:eastAsia="zh-CN"/>
        </w:rPr>
        <w:t>：分体式传输瓶，取/放样更便捷。</w:t>
      </w:r>
    </w:p>
    <w:p w14:paraId="4ADEB71B">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24"/>
          <w:szCs w:val="24"/>
          <w:lang w:val="en-US" w:eastAsia="zh-CN"/>
        </w:rPr>
      </w:pPr>
      <w:r>
        <w:rPr>
          <w:rFonts w:hint="eastAsia"/>
          <w:sz w:val="24"/>
          <w:szCs w:val="24"/>
          <w:lang w:val="en-US" w:eastAsia="zh-CN"/>
        </w:rPr>
        <w:t>瓶头整体加厚，结合部铆钉加固；</w:t>
      </w:r>
    </w:p>
    <w:p w14:paraId="4AE393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sz w:val="24"/>
          <w:szCs w:val="24"/>
        </w:rPr>
      </w:pPr>
      <w:r>
        <w:rPr>
          <w:sz w:val="24"/>
          <w:szCs w:val="24"/>
        </w:rPr>
        <w:drawing>
          <wp:inline distT="0" distB="0" distL="114300" distR="114300">
            <wp:extent cx="1251585" cy="1880870"/>
            <wp:effectExtent l="0" t="0" r="254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1251585" cy="1880870"/>
                    </a:xfrm>
                    <a:prstGeom prst="rect">
                      <a:avLst/>
                    </a:prstGeom>
                    <a:noFill/>
                    <a:ln>
                      <a:noFill/>
                    </a:ln>
                  </pic:spPr>
                </pic:pic>
              </a:graphicData>
            </a:graphic>
          </wp:inline>
        </w:drawing>
      </w:r>
      <w:r>
        <w:rPr>
          <w:sz w:val="24"/>
          <w:szCs w:val="24"/>
        </w:rPr>
        <w:drawing>
          <wp:inline distT="0" distB="0" distL="114300" distR="114300">
            <wp:extent cx="1543050" cy="1581150"/>
            <wp:effectExtent l="0" t="0" r="1270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543050" cy="1581150"/>
                    </a:xfrm>
                    <a:prstGeom prst="rect">
                      <a:avLst/>
                    </a:prstGeom>
                    <a:noFill/>
                    <a:ln>
                      <a:noFill/>
                    </a:ln>
                  </pic:spPr>
                </pic:pic>
              </a:graphicData>
            </a:graphic>
          </wp:inline>
        </w:drawing>
      </w:r>
      <w:r>
        <w:rPr>
          <w:sz w:val="24"/>
          <w:szCs w:val="24"/>
        </w:rPr>
        <w:drawing>
          <wp:inline distT="0" distB="0" distL="114300" distR="114300">
            <wp:extent cx="1733550" cy="1504950"/>
            <wp:effectExtent l="0" t="0" r="12700" b="317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1733550" cy="1504950"/>
                    </a:xfrm>
                    <a:prstGeom prst="rect">
                      <a:avLst/>
                    </a:prstGeom>
                    <a:noFill/>
                    <a:ln>
                      <a:noFill/>
                    </a:ln>
                  </pic:spPr>
                </pic:pic>
              </a:graphicData>
            </a:graphic>
          </wp:inline>
        </w:drawing>
      </w:r>
    </w:p>
    <w:p w14:paraId="00417C4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sz w:val="24"/>
          <w:szCs w:val="24"/>
        </w:rPr>
      </w:pPr>
      <w:r>
        <w:rPr>
          <w:rFonts w:hint="eastAsia"/>
          <w:sz w:val="24"/>
          <w:szCs w:val="24"/>
        </w:rPr>
        <w:drawing>
          <wp:inline distT="0" distB="0" distL="114300" distR="114300">
            <wp:extent cx="5607050" cy="2224405"/>
            <wp:effectExtent l="0" t="0" r="12700" b="1397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7"/>
                    <a:srcRect t="16754"/>
                    <a:stretch>
                      <a:fillRect/>
                    </a:stretch>
                  </pic:blipFill>
                  <pic:spPr>
                    <a:xfrm>
                      <a:off x="0" y="0"/>
                      <a:ext cx="5607050" cy="2224405"/>
                    </a:xfrm>
                    <a:prstGeom prst="rect">
                      <a:avLst/>
                    </a:prstGeom>
                    <a:noFill/>
                    <a:ln>
                      <a:noFill/>
                    </a:ln>
                  </pic:spPr>
                </pic:pic>
              </a:graphicData>
            </a:graphic>
          </wp:inline>
        </w:drawing>
      </w:r>
    </w:p>
    <w:p w14:paraId="715938AF">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sectPr>
          <w:pgSz w:w="11906" w:h="16838"/>
          <w:pgMar w:top="1440" w:right="1800" w:bottom="1440" w:left="1800" w:header="851" w:footer="992" w:gutter="0"/>
          <w:cols w:space="720" w:num="1"/>
          <w:docGrid w:type="lines" w:linePitch="312" w:charSpace="0"/>
        </w:sectPr>
      </w:pPr>
    </w:p>
    <w:p w14:paraId="40ED942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pPr>
      <w:r>
        <w:rPr>
          <w:rFonts w:hint="eastAsia"/>
          <w:sz w:val="24"/>
          <w:szCs w:val="24"/>
          <w:lang w:val="en-US" w:eastAsia="zh-CN"/>
        </w:rPr>
        <w:t>传输瓶及其配件</w:t>
      </w:r>
    </w:p>
    <w:p w14:paraId="3ED3B71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eastAsia"/>
          <w:sz w:val="24"/>
          <w:szCs w:val="24"/>
          <w:lang w:val="en-US" w:eastAsia="zh-CN"/>
        </w:rPr>
        <w:t>数量：80个传输瓶；</w:t>
      </w:r>
    </w:p>
    <w:p w14:paraId="7B8ED447">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lang w:val="en-US" w:eastAsia="zh-CN"/>
        </w:rPr>
      </w:pPr>
      <w:r>
        <w:rPr>
          <w:rFonts w:hint="eastAsia"/>
          <w:sz w:val="24"/>
          <w:szCs w:val="24"/>
          <w:lang w:val="en-US" w:eastAsia="zh-CN"/>
        </w:rPr>
        <w:t>每个传输瓶内包括1个试管袋、2个海绵包、1个布包；</w:t>
      </w:r>
    </w:p>
    <w:p w14:paraId="3F279B5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jc w:val="both"/>
        <w:textAlignment w:val="auto"/>
        <w:rPr>
          <w:rFonts w:hint="default"/>
          <w:sz w:val="24"/>
          <w:szCs w:val="24"/>
          <w:highlight w:val="yellow"/>
          <w:lang w:val="en-US" w:eastAsia="zh-CN"/>
        </w:rPr>
      </w:pPr>
      <w:r>
        <w:rPr>
          <w:rFonts w:hint="eastAsia"/>
          <w:sz w:val="24"/>
          <w:szCs w:val="24"/>
          <w:highlight w:val="yellow"/>
          <w:lang w:val="en-US" w:eastAsia="zh-CN"/>
        </w:rPr>
        <mc:AlternateContent>
          <mc:Choice Requires="wpg">
            <w:drawing>
              <wp:anchor distT="0" distB="0" distL="114300" distR="114300" simplePos="0" relativeHeight="251660288" behindDoc="0" locked="0" layoutInCell="1" allowOverlap="1">
                <wp:simplePos x="0" y="0"/>
                <wp:positionH relativeFrom="column">
                  <wp:posOffset>-42545</wp:posOffset>
                </wp:positionH>
                <wp:positionV relativeFrom="paragraph">
                  <wp:posOffset>1136650</wp:posOffset>
                </wp:positionV>
                <wp:extent cx="5819140" cy="3524885"/>
                <wp:effectExtent l="386080" t="201930" r="17780" b="19685"/>
                <wp:wrapNone/>
                <wp:docPr id="10" name="组合 10"/>
                <wp:cNvGraphicFramePr/>
                <a:graphic xmlns:a="http://schemas.openxmlformats.org/drawingml/2006/main">
                  <a:graphicData uri="http://schemas.microsoft.com/office/word/2010/wordprocessingGroup">
                    <wpg:wgp>
                      <wpg:cNvGrpSpPr/>
                      <wpg:grpSpPr>
                        <a:xfrm>
                          <a:off x="0" y="0"/>
                          <a:ext cx="5819140" cy="3524885"/>
                          <a:chOff x="4394" y="3960"/>
                          <a:chExt cx="9164" cy="5551"/>
                        </a:xfrm>
                      </wpg:grpSpPr>
                      <wps:wsp>
                        <wps:cNvPr id="6" name="线形标注 3 6"/>
                        <wps:cNvSpPr/>
                        <wps:spPr>
                          <a:xfrm>
                            <a:off x="4394" y="8559"/>
                            <a:ext cx="6022" cy="952"/>
                          </a:xfrm>
                          <a:prstGeom prst="borderCallout3">
                            <a:avLst>
                              <a:gd name="adj1" fmla="val 50000"/>
                              <a:gd name="adj2" fmla="val 347"/>
                              <a:gd name="adj3" fmla="val 42963"/>
                              <a:gd name="adj4" fmla="val -9847"/>
                              <a:gd name="adj5" fmla="val -63653"/>
                              <a:gd name="adj6" fmla="val -9847"/>
                              <a:gd name="adj7" fmla="val -113991"/>
                              <a:gd name="adj8" fmla="val 15282"/>
                            </a:avLst>
                          </a:prstGeom>
                          <a:solidFill>
                            <a:srgbClr val="FFFFFF"/>
                          </a:solidFill>
                          <a:ln w="19050" cap="flat" cmpd="sng">
                            <a:solidFill>
                              <a:srgbClr val="1F497D"/>
                            </a:solidFill>
                            <a:prstDash val="solid"/>
                            <a:miter/>
                            <a:headEnd type="none" w="med" len="med"/>
                            <a:tailEnd type="none" w="med" len="med"/>
                          </a:ln>
                        </wps:spPr>
                        <wps:txbx>
                          <w:txbxContent>
                            <w:p w14:paraId="6ADE8659">
                              <w:pPr>
                                <w:rPr>
                                  <w:szCs w:val="24"/>
                                </w:rPr>
                              </w:pPr>
                              <w:r>
                                <w:rPr>
                                  <w:rFonts w:hint="eastAsia"/>
                                  <w:szCs w:val="24"/>
                                </w:rPr>
                                <w:t>传输瓶：传输物品的载体。</w:t>
                              </w:r>
                            </w:p>
                            <w:p w14:paraId="2A3E7756">
                              <w:pPr>
                                <w:rPr>
                                  <w:b/>
                                  <w:bCs/>
                                  <w:color w:val="FF0000"/>
                                  <w:szCs w:val="24"/>
                                </w:rPr>
                              </w:pPr>
                              <w:r>
                                <w:rPr>
                                  <w:rFonts w:hint="eastAsia"/>
                                  <w:color w:val="F79646"/>
                                  <w:szCs w:val="24"/>
                                </w:rPr>
                                <w:t>任何物品必须放到传输瓶内才可进行传输</w:t>
                              </w:r>
                              <w:r>
                                <w:rPr>
                                  <w:rFonts w:hint="eastAsia"/>
                                  <w:b/>
                                  <w:bCs/>
                                  <w:color w:val="F79646"/>
                                  <w:szCs w:val="24"/>
                                </w:rPr>
                                <w:t>。</w:t>
                              </w:r>
                            </w:p>
                          </w:txbxContent>
                        </wps:txbx>
                        <wps:bodyPr upright="1"/>
                      </wps:wsp>
                      <wps:wsp>
                        <wps:cNvPr id="7" name="线形标注 2 7"/>
                        <wps:cNvSpPr/>
                        <wps:spPr>
                          <a:xfrm>
                            <a:off x="9403" y="3960"/>
                            <a:ext cx="4154" cy="805"/>
                          </a:xfrm>
                          <a:prstGeom prst="borderCallout2">
                            <a:avLst>
                              <a:gd name="adj1" fmla="val 49926"/>
                              <a:gd name="adj2" fmla="val -338"/>
                              <a:gd name="adj3" fmla="val -36750"/>
                              <a:gd name="adj4" fmla="val -42852"/>
                              <a:gd name="adj5" fmla="val 10255"/>
                              <a:gd name="adj6" fmla="val -42681"/>
                            </a:avLst>
                          </a:prstGeom>
                          <a:solidFill>
                            <a:srgbClr val="FFFFFF"/>
                          </a:solidFill>
                          <a:ln w="19050" cap="flat" cmpd="sng">
                            <a:solidFill>
                              <a:srgbClr val="1F497D"/>
                            </a:solidFill>
                            <a:prstDash val="solid"/>
                            <a:miter/>
                            <a:headEnd type="none" w="med" len="med"/>
                            <a:tailEnd type="none" w="med" len="med"/>
                          </a:ln>
                        </wps:spPr>
                        <wps:txbx>
                          <w:txbxContent>
                            <w:p w14:paraId="4F2764E8">
                              <w:pPr>
                                <w:rPr>
                                  <w:rFonts w:hint="default" w:eastAsia="宋体"/>
                                  <w:szCs w:val="24"/>
                                  <w:lang w:val="en-US" w:eastAsia="zh-CN"/>
                                </w:rPr>
                              </w:pPr>
                              <w:r>
                                <w:rPr>
                                  <w:rFonts w:hint="eastAsia"/>
                                  <w:szCs w:val="24"/>
                                </w:rPr>
                                <w:t>试管袋：放入易碎针剂，试管等，确保内容物安全</w:t>
                              </w:r>
                              <w:r>
                                <w:rPr>
                                  <w:rFonts w:hint="eastAsia"/>
                                  <w:szCs w:val="24"/>
                                  <w:lang w:eastAsia="zh-CN"/>
                                </w:rPr>
                                <w:t>，</w:t>
                              </w:r>
                              <w:r>
                                <w:rPr>
                                  <w:rFonts w:hint="eastAsia"/>
                                  <w:szCs w:val="24"/>
                                  <w:lang w:val="en-US" w:eastAsia="zh-CN"/>
                                </w:rPr>
                                <w:t>每个瓶内一个</w:t>
                              </w:r>
                            </w:p>
                          </w:txbxContent>
                        </wps:txbx>
                        <wps:bodyPr upright="1"/>
                      </wps:wsp>
                      <wps:wsp>
                        <wps:cNvPr id="8" name="线形标注 2 8"/>
                        <wps:cNvSpPr/>
                        <wps:spPr>
                          <a:xfrm>
                            <a:off x="9403" y="7357"/>
                            <a:ext cx="4155" cy="702"/>
                          </a:xfrm>
                          <a:prstGeom prst="borderCallout2">
                            <a:avLst>
                              <a:gd name="adj1" fmla="val 47245"/>
                              <a:gd name="adj2" fmla="val -528"/>
                              <a:gd name="adj3" fmla="val 50222"/>
                              <a:gd name="adj4" fmla="val -31384"/>
                              <a:gd name="adj5" fmla="val -11676"/>
                              <a:gd name="adj6" fmla="val -32130"/>
                            </a:avLst>
                          </a:prstGeom>
                          <a:solidFill>
                            <a:srgbClr val="FFFFFF"/>
                          </a:solidFill>
                          <a:ln w="19050" cap="flat" cmpd="sng">
                            <a:solidFill>
                              <a:srgbClr val="1F497D"/>
                            </a:solidFill>
                            <a:prstDash val="solid"/>
                            <a:miter/>
                            <a:headEnd type="none" w="med" len="med"/>
                            <a:tailEnd type="none" w="med" len="med"/>
                          </a:ln>
                        </wps:spPr>
                        <wps:txbx>
                          <w:txbxContent>
                            <w:p w14:paraId="07BB9CB3">
                              <w:pPr>
                                <w:rPr>
                                  <w:rFonts w:hint="default" w:eastAsia="宋体"/>
                                  <w:szCs w:val="24"/>
                                  <w:lang w:val="en-US" w:eastAsia="zh-CN"/>
                                </w:rPr>
                              </w:pPr>
                              <w:r>
                                <w:rPr>
                                  <w:rFonts w:hint="eastAsia"/>
                                  <w:szCs w:val="24"/>
                                </w:rPr>
                                <w:t>布包：保护传输物品</w:t>
                              </w:r>
                              <w:r>
                                <w:rPr>
                                  <w:rFonts w:hint="eastAsia"/>
                                  <w:szCs w:val="24"/>
                                  <w:lang w:eastAsia="zh-CN"/>
                                </w:rPr>
                                <w:t>，</w:t>
                              </w:r>
                              <w:r>
                                <w:rPr>
                                  <w:rFonts w:hint="eastAsia"/>
                                  <w:szCs w:val="24"/>
                                  <w:lang w:val="en-US" w:eastAsia="zh-CN"/>
                                </w:rPr>
                                <w:t>每个瓶内两个。</w:t>
                              </w:r>
                            </w:p>
                          </w:txbxContent>
                        </wps:txbx>
                        <wps:bodyPr upright="1"/>
                      </wps:wsp>
                      <wps:wsp>
                        <wps:cNvPr id="9" name="线形标注 2 9"/>
                        <wps:cNvSpPr/>
                        <wps:spPr>
                          <a:xfrm>
                            <a:off x="9403" y="5635"/>
                            <a:ext cx="4127" cy="941"/>
                          </a:xfrm>
                          <a:prstGeom prst="borderCallout2">
                            <a:avLst>
                              <a:gd name="adj1" fmla="val 50935"/>
                              <a:gd name="adj2" fmla="val 144"/>
                              <a:gd name="adj3" fmla="val 61106"/>
                              <a:gd name="adj4" fmla="val -14273"/>
                              <a:gd name="adj5" fmla="val 13838"/>
                              <a:gd name="adj6" fmla="val -14949"/>
                            </a:avLst>
                          </a:prstGeom>
                          <a:solidFill>
                            <a:srgbClr val="FFFFFF"/>
                          </a:solidFill>
                          <a:ln w="19050" cap="flat" cmpd="sng">
                            <a:solidFill>
                              <a:srgbClr val="1F497D"/>
                            </a:solidFill>
                            <a:prstDash val="solid"/>
                            <a:miter/>
                            <a:headEnd type="none" w="med" len="med"/>
                            <a:tailEnd type="none" w="med" len="med"/>
                          </a:ln>
                        </wps:spPr>
                        <wps:txbx>
                          <w:txbxContent>
                            <w:p w14:paraId="50B83133">
                              <w:pPr>
                                <w:rPr>
                                  <w:szCs w:val="24"/>
                                </w:rPr>
                              </w:pPr>
                              <w:r>
                                <w:rPr>
                                  <w:rFonts w:hint="eastAsia"/>
                                  <w:szCs w:val="24"/>
                                </w:rPr>
                                <w:t>海绵包：保护内容物及瓶盖上的芯片。</w:t>
                              </w:r>
                            </w:p>
                            <w:p w14:paraId="275AFBD0">
                              <w:pPr>
                                <w:rPr>
                                  <w:color w:val="F79646"/>
                                  <w:szCs w:val="24"/>
                                </w:rPr>
                              </w:pPr>
                              <w:r>
                                <w:rPr>
                                  <w:rFonts w:hint="eastAsia"/>
                                  <w:color w:val="F79646"/>
                                  <w:szCs w:val="24"/>
                                </w:rPr>
                                <w:t>传输任何物品都必须在两端添加海绵</w:t>
                              </w:r>
                            </w:p>
                          </w:txbxContent>
                        </wps:txbx>
                        <wps:bodyPr upright="1"/>
                      </wps:wsp>
                    </wpg:wgp>
                  </a:graphicData>
                </a:graphic>
              </wp:anchor>
            </w:drawing>
          </mc:Choice>
          <mc:Fallback>
            <w:pict>
              <v:group id="_x0000_s1026" o:spid="_x0000_s1026" o:spt="203" style="position:absolute;left:0pt;margin-left:-3.35pt;margin-top:89.5pt;height:277.55pt;width:458.2pt;z-index:251660288;mso-width-relative:page;mso-height-relative:page;" coordorigin="4394,3960" coordsize="9164,5551" o:gfxdata="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">
                <o:lock v:ext="edit" aspectratio="f"/>
                <v:shape id="_x0000_s1026" o:spid="_x0000_s1026" o:spt="49" type="#_x0000_t49" style="position:absolute;left:4394;top:8559;height:952;width:6022;" fillcolor="#FFFFFF" filled="t" stroked="t" coordsize="21600,21600" o:gfxdata="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5K2ZvQAA&#10;ANoAAAAPAAAAAAAAAAEAIAAAACIAAABkcnMvZG93bnJldi54bWxQSwECFAAUAAAACACHTuJAMy8F&#10;njsAAAA5AAAAEAAAAAAAAAABACAAAAAMAQAAZHJzL3NoYXBleG1sLnhtbFBLBQYAAAAABgAGAFsB&#10;AAC2AwAAAAA=&#10;" adj="3301,-24622,-2127,-13749,-2127,9280,75,10800">
                  <v:fill on="t" focussize="0,0"/>
                  <v:stroke weight="1.5pt" color="#1F497D" joinstyle="miter"/>
                  <v:imagedata o:title=""/>
                  <o:lock v:ext="edit" aspectratio="f"/>
                  <v:textbox>
                    <w:txbxContent>
                      <w:p w14:paraId="6ADE8659">
                        <w:pPr>
                          <w:rPr>
                            <w:szCs w:val="24"/>
                          </w:rPr>
                        </w:pPr>
                        <w:r>
                          <w:rPr>
                            <w:rFonts w:hint="eastAsia"/>
                            <w:szCs w:val="24"/>
                          </w:rPr>
                          <w:t>传输瓶：传输物品的载体。</w:t>
                        </w:r>
                      </w:p>
                      <w:p w14:paraId="2A3E7756">
                        <w:pPr>
                          <w:rPr>
                            <w:b/>
                            <w:bCs/>
                            <w:color w:val="FF0000"/>
                            <w:szCs w:val="24"/>
                          </w:rPr>
                        </w:pPr>
                        <w:r>
                          <w:rPr>
                            <w:rFonts w:hint="eastAsia"/>
                            <w:color w:val="F79646"/>
                            <w:szCs w:val="24"/>
                          </w:rPr>
                          <w:t>任何物品必须放到传输瓶内才可进行传输</w:t>
                        </w:r>
                        <w:r>
                          <w:rPr>
                            <w:rFonts w:hint="eastAsia"/>
                            <w:b/>
                            <w:bCs/>
                            <w:color w:val="F79646"/>
                            <w:szCs w:val="24"/>
                          </w:rPr>
                          <w:t>。</w:t>
                        </w:r>
                      </w:p>
                    </w:txbxContent>
                  </v:textbox>
                </v:shape>
                <v:shape id="_x0000_s1026" o:spid="_x0000_s1026" o:spt="48" type="#_x0000_t48" style="position:absolute;left:9403;top:3960;height:805;width:4154;" fillcolor="#FFFFFF" filled="t" stroked="t" coordsize="21600,21600" o:gfxdata="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d749vQAA&#10;ANoAAAAPAAAAAAAAAAEAIAAAACIAAABkcnMvZG93bnJldi54bWxQSwECFAAUAAAACACHTuJAMy8F&#10;njsAAAA5AAAAEAAAAAAAAAABACAAAAAMAQAAZHJzL3NoYXBleG1sLnhtbFBLBQYAAAAABgAGAFsB&#10;AAC2AwAAAAA=&#10;" adj="-9219,2215,-9256,-7938,-73,10784">
                  <v:fill on="t" focussize="0,0"/>
                  <v:stroke weight="1.5pt" color="#1F497D" joinstyle="miter"/>
                  <v:imagedata o:title=""/>
                  <o:lock v:ext="edit" aspectratio="f"/>
                  <v:textbox>
                    <w:txbxContent>
                      <w:p w14:paraId="4F2764E8">
                        <w:pPr>
                          <w:rPr>
                            <w:rFonts w:hint="default" w:eastAsia="宋体"/>
                            <w:szCs w:val="24"/>
                            <w:lang w:val="en-US" w:eastAsia="zh-CN"/>
                          </w:rPr>
                        </w:pPr>
                        <w:r>
                          <w:rPr>
                            <w:rFonts w:hint="eastAsia"/>
                            <w:szCs w:val="24"/>
                          </w:rPr>
                          <w:t>试管袋：放入易碎针剂，试管等，确保内容物安全</w:t>
                        </w:r>
                        <w:r>
                          <w:rPr>
                            <w:rFonts w:hint="eastAsia"/>
                            <w:szCs w:val="24"/>
                            <w:lang w:eastAsia="zh-CN"/>
                          </w:rPr>
                          <w:t>，</w:t>
                        </w:r>
                        <w:r>
                          <w:rPr>
                            <w:rFonts w:hint="eastAsia"/>
                            <w:szCs w:val="24"/>
                            <w:lang w:val="en-US" w:eastAsia="zh-CN"/>
                          </w:rPr>
                          <w:t>每个瓶内一个</w:t>
                        </w:r>
                      </w:p>
                    </w:txbxContent>
                  </v:textbox>
                </v:shape>
                <v:shape id="_x0000_s1026" o:spid="_x0000_s1026" o:spt="48" type="#_x0000_t48" style="position:absolute;left:9403;top:7357;height:702;width:4155;" fillcolor="#FFFFFF" filled="t" stroked="t" coordsize="21600,21600" o:gfxdata="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FonN7gAAADaAAAA&#10;DwAAAAAAAAABACAAAAAiAAAAZHJzL2Rvd25yZXYueG1sUEsBAhQAFAAAAAgAh07iQDMvBZ47AAAA&#10;OQAAABAAAAAAAAAAAQAgAAAABwEAAGRycy9zaGFwZXhtbC54bWxQSwUGAAAAAAYABgBbAQAAsQMA&#10;AAAA&#10;" adj="-6940,-2522,-6779,10848,-114,10205">
                  <v:fill on="t" focussize="0,0"/>
                  <v:stroke weight="1.5pt" color="#1F497D" joinstyle="miter"/>
                  <v:imagedata o:title=""/>
                  <o:lock v:ext="edit" aspectratio="f"/>
                  <v:textbox>
                    <w:txbxContent>
                      <w:p w14:paraId="07BB9CB3">
                        <w:pPr>
                          <w:rPr>
                            <w:rFonts w:hint="default" w:eastAsia="宋体"/>
                            <w:szCs w:val="24"/>
                            <w:lang w:val="en-US" w:eastAsia="zh-CN"/>
                          </w:rPr>
                        </w:pPr>
                        <w:r>
                          <w:rPr>
                            <w:rFonts w:hint="eastAsia"/>
                            <w:szCs w:val="24"/>
                          </w:rPr>
                          <w:t>布包：保护传输物品</w:t>
                        </w:r>
                        <w:r>
                          <w:rPr>
                            <w:rFonts w:hint="eastAsia"/>
                            <w:szCs w:val="24"/>
                            <w:lang w:eastAsia="zh-CN"/>
                          </w:rPr>
                          <w:t>，</w:t>
                        </w:r>
                        <w:r>
                          <w:rPr>
                            <w:rFonts w:hint="eastAsia"/>
                            <w:szCs w:val="24"/>
                            <w:lang w:val="en-US" w:eastAsia="zh-CN"/>
                          </w:rPr>
                          <w:t>每个瓶内两个。</w:t>
                        </w:r>
                      </w:p>
                    </w:txbxContent>
                  </v:textbox>
                </v:shape>
                <v:shape id="_x0000_s1026" o:spid="_x0000_s1026" o:spt="48" type="#_x0000_t48" style="position:absolute;left:9403;top:5635;height:941;width:4127;" fillcolor="#FFFFFF" filled="t" stroked="t" coordsize="21600,21600" o:gfxdata="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zovqvQAA&#10;ANoAAAAPAAAAAAAAAAEAIAAAACIAAABkcnMvZG93bnJldi54bWxQSwECFAAUAAAACACHTuJAMy8F&#10;njsAAAA5AAAAEAAAAAAAAAABACAAAAAMAQAAZHJzL3NoYXBleG1sLnhtbFBLBQYAAAAABgAGAFsB&#10;AAC2AwAAAAA=&#10;" adj="-3229,2989,-3083,13199,31,11002">
                  <v:fill on="t" focussize="0,0"/>
                  <v:stroke weight="1.5pt" color="#1F497D" joinstyle="miter"/>
                  <v:imagedata o:title=""/>
                  <o:lock v:ext="edit" aspectratio="f"/>
                  <v:textbox>
                    <w:txbxContent>
                      <w:p w14:paraId="50B83133">
                        <w:pPr>
                          <w:rPr>
                            <w:szCs w:val="24"/>
                          </w:rPr>
                        </w:pPr>
                        <w:r>
                          <w:rPr>
                            <w:rFonts w:hint="eastAsia"/>
                            <w:szCs w:val="24"/>
                          </w:rPr>
                          <w:t>海绵包：保护内容物及瓶盖上的芯片。</w:t>
                        </w:r>
                      </w:p>
                      <w:p w14:paraId="275AFBD0">
                        <w:pPr>
                          <w:rPr>
                            <w:color w:val="F79646"/>
                            <w:szCs w:val="24"/>
                          </w:rPr>
                        </w:pPr>
                        <w:r>
                          <w:rPr>
                            <w:rFonts w:hint="eastAsia"/>
                            <w:color w:val="F79646"/>
                            <w:szCs w:val="24"/>
                          </w:rPr>
                          <w:t>传输任何物品都必须在两端添加海绵</w:t>
                        </w:r>
                      </w:p>
                    </w:txbxContent>
                  </v:textbox>
                </v:shape>
              </v:group>
            </w:pict>
          </mc:Fallback>
        </mc:AlternateContent>
      </w:r>
      <w:r>
        <w:rPr>
          <w:rFonts w:hint="default"/>
          <w:sz w:val="24"/>
          <w:szCs w:val="24"/>
          <w:highlight w:val="yellow"/>
          <w:lang w:val="en-US" w:eastAsia="zh-CN"/>
        </w:rPr>
        <w:drawing>
          <wp:anchor distT="0" distB="0" distL="114300" distR="114300" simplePos="0" relativeHeight="251659264" behindDoc="1" locked="0" layoutInCell="1" allowOverlap="1">
            <wp:simplePos x="0" y="0"/>
            <wp:positionH relativeFrom="column">
              <wp:posOffset>-189230</wp:posOffset>
            </wp:positionH>
            <wp:positionV relativeFrom="paragraph">
              <wp:posOffset>1029335</wp:posOffset>
            </wp:positionV>
            <wp:extent cx="3373755" cy="2578735"/>
            <wp:effectExtent l="0" t="0" r="7620" b="889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pic:cNvPicPr>
                      <a:picLocks noChangeAspect="1"/>
                    </pic:cNvPicPr>
                  </pic:nvPicPr>
                  <pic:blipFill>
                    <a:blip r:embed="rId8"/>
                    <a:stretch>
                      <a:fillRect/>
                    </a:stretch>
                  </pic:blipFill>
                  <pic:spPr>
                    <a:xfrm>
                      <a:off x="0" y="0"/>
                      <a:ext cx="3373755" cy="2578735"/>
                    </a:xfrm>
                    <a:prstGeom prst="rect">
                      <a:avLst/>
                    </a:prstGeom>
                    <a:noFill/>
                    <a:ln>
                      <a:noFill/>
                    </a:ln>
                  </pic:spPr>
                </pic:pic>
              </a:graphicData>
            </a:graphic>
          </wp:anchor>
        </w:drawing>
      </w:r>
      <w:r>
        <w:rPr>
          <w:rFonts w:hint="eastAsia"/>
          <w:sz w:val="24"/>
          <w:szCs w:val="24"/>
          <w:highlight w:val="yellow"/>
          <w:lang w:val="en-US" w:eastAsia="zh-CN"/>
        </w:rPr>
        <w:t>供货商另附带20套瓶内配件作为备用，共20个试管袋，40个海绵包，20个布包，计入合同总价。</w:t>
      </w:r>
    </w:p>
    <w:p w14:paraId="5C1C0B2F">
      <w:pPr>
        <w:jc w:val="left"/>
        <w:rPr>
          <w:rFonts w:hint="eastAsia" w:ascii="仿宋_GB2312" w:hAnsi="仿宋_GB2312" w:eastAsia="仿宋_GB2312" w:cs="仿宋_GB2312"/>
          <w:sz w:val="24"/>
          <w:szCs w:val="24"/>
        </w:rPr>
      </w:pPr>
    </w:p>
    <w:p w14:paraId="3984BF6B">
      <w:pPr>
        <w:jc w:val="left"/>
        <w:rPr>
          <w:rFonts w:hint="eastAsia" w:ascii="仿宋_GB2312" w:hAnsi="仿宋_GB2312" w:eastAsia="仿宋_GB2312" w:cs="仿宋_GB2312"/>
          <w:sz w:val="24"/>
          <w:szCs w:val="24"/>
        </w:rPr>
      </w:pPr>
    </w:p>
    <w:p w14:paraId="1EE5CA16">
      <w:pPr>
        <w:jc w:val="left"/>
        <w:rPr>
          <w:rFonts w:hint="eastAsia" w:ascii="仿宋_GB2312" w:hAnsi="仿宋_GB2312" w:eastAsia="仿宋_GB2312" w:cs="仿宋_GB2312"/>
          <w:sz w:val="24"/>
          <w:szCs w:val="24"/>
        </w:rPr>
      </w:pPr>
    </w:p>
    <w:p w14:paraId="58BB9EFB">
      <w:pPr>
        <w:jc w:val="left"/>
        <w:rPr>
          <w:rFonts w:hint="eastAsia" w:ascii="仿宋_GB2312" w:hAnsi="仿宋_GB2312" w:eastAsia="仿宋_GB2312" w:cs="仿宋_GB2312"/>
          <w:sz w:val="24"/>
          <w:szCs w:val="24"/>
        </w:rPr>
      </w:pPr>
    </w:p>
    <w:p w14:paraId="3E0A4D25">
      <w:pPr>
        <w:jc w:val="left"/>
        <w:rPr>
          <w:rFonts w:hint="eastAsia" w:ascii="仿宋_GB2312" w:hAnsi="仿宋_GB2312" w:eastAsia="仿宋_GB2312" w:cs="仿宋_GB2312"/>
          <w:sz w:val="24"/>
          <w:szCs w:val="24"/>
        </w:rPr>
      </w:pPr>
    </w:p>
    <w:p w14:paraId="2C6DCBE3">
      <w:pPr>
        <w:jc w:val="left"/>
        <w:rPr>
          <w:rFonts w:hint="eastAsia" w:ascii="仿宋_GB2312" w:hAnsi="仿宋_GB2312" w:eastAsia="仿宋_GB2312" w:cs="仿宋_GB2312"/>
          <w:sz w:val="24"/>
          <w:szCs w:val="24"/>
        </w:rPr>
      </w:pPr>
    </w:p>
    <w:p w14:paraId="5E0DB2C9">
      <w:pPr>
        <w:jc w:val="left"/>
        <w:rPr>
          <w:rFonts w:hint="eastAsia" w:ascii="仿宋_GB2312" w:hAnsi="仿宋_GB2312" w:eastAsia="仿宋_GB2312" w:cs="仿宋_GB2312"/>
          <w:sz w:val="24"/>
          <w:szCs w:val="24"/>
        </w:rPr>
      </w:pPr>
    </w:p>
    <w:p w14:paraId="2D406C2C">
      <w:pPr>
        <w:jc w:val="left"/>
        <w:rPr>
          <w:rFonts w:hint="eastAsia" w:ascii="仿宋_GB2312" w:hAnsi="仿宋_GB2312" w:eastAsia="仿宋_GB2312" w:cs="仿宋_GB2312"/>
          <w:sz w:val="24"/>
          <w:szCs w:val="24"/>
        </w:rPr>
      </w:pPr>
    </w:p>
    <w:p w14:paraId="1599AAA3">
      <w:pPr>
        <w:jc w:val="left"/>
        <w:rPr>
          <w:rFonts w:hint="eastAsia" w:ascii="仿宋_GB2312" w:hAnsi="仿宋_GB2312" w:eastAsia="仿宋_GB2312" w:cs="仿宋_GB2312"/>
          <w:sz w:val="24"/>
          <w:szCs w:val="24"/>
        </w:rPr>
      </w:pPr>
    </w:p>
    <w:p w14:paraId="2F281A9A">
      <w:pPr>
        <w:jc w:val="left"/>
        <w:rPr>
          <w:rFonts w:hint="eastAsia" w:ascii="仿宋_GB2312" w:hAnsi="仿宋_GB2312" w:eastAsia="仿宋_GB2312" w:cs="仿宋_GB2312"/>
          <w:sz w:val="36"/>
          <w:szCs w:val="36"/>
        </w:rPr>
      </w:pPr>
    </w:p>
    <w:p w14:paraId="2FA06BFC">
      <w:pPr>
        <w:numPr>
          <w:ilvl w:val="0"/>
          <w:numId w:val="0"/>
        </w:numPr>
        <w:ind w:left="510" w:leftChars="0"/>
        <w:rPr>
          <w:rFonts w:hint="eastAsia" w:ascii="方正仿宋_GB2312" w:hAnsi="方正仿宋_GB2312" w:eastAsia="方正仿宋_GB2312" w:cs="方正仿宋_GB2312"/>
          <w:b/>
          <w:bCs/>
          <w:color w:val="FF0000"/>
          <w:sz w:val="28"/>
          <w:szCs w:val="28"/>
          <w:lang w:val="en-US" w:eastAsia="zh-CN"/>
        </w:rPr>
      </w:pPr>
    </w:p>
    <w:p w14:paraId="4B5117DE">
      <w:pPr>
        <w:numPr>
          <w:ilvl w:val="0"/>
          <w:numId w:val="0"/>
        </w:numPr>
        <w:ind w:left="510" w:leftChars="0"/>
        <w:rPr>
          <w:rFonts w:hint="eastAsia" w:ascii="方正仿宋_GB2312" w:hAnsi="方正仿宋_GB2312" w:eastAsia="方正仿宋_GB2312" w:cs="方正仿宋_GB2312"/>
          <w:b/>
          <w:bCs/>
          <w:color w:val="FF0000"/>
          <w:sz w:val="28"/>
          <w:szCs w:val="28"/>
          <w:lang w:val="en-US" w:eastAsia="zh-CN"/>
        </w:rPr>
      </w:pPr>
    </w:p>
    <w:p w14:paraId="74BFC815">
      <w:pPr>
        <w:numPr>
          <w:ilvl w:val="0"/>
          <w:numId w:val="0"/>
        </w:numPr>
        <w:ind w:left="510" w:leftChars="0"/>
        <w:rPr>
          <w:rFonts w:hint="eastAsia" w:ascii="方正仿宋_GB2312" w:hAnsi="方正仿宋_GB2312" w:eastAsia="方正仿宋_GB2312" w:cs="方正仿宋_GB2312"/>
          <w:b/>
          <w:bCs/>
          <w:color w:val="FF0000"/>
          <w:sz w:val="28"/>
          <w:szCs w:val="28"/>
          <w:lang w:val="en-US" w:eastAsia="zh-CN"/>
        </w:rPr>
      </w:pPr>
    </w:p>
    <w:p w14:paraId="6D03DD99">
      <w:pPr>
        <w:numPr>
          <w:ilvl w:val="0"/>
          <w:numId w:val="0"/>
        </w:numPr>
        <w:ind w:left="510" w:leftChars="0"/>
        <w:rPr>
          <w:rFonts w:hint="eastAsia" w:ascii="方正仿宋_GB2312" w:hAnsi="方正仿宋_GB2312" w:eastAsia="方正仿宋_GB2312" w:cs="方正仿宋_GB2312"/>
          <w:b/>
          <w:bCs/>
          <w:color w:val="FF0000"/>
          <w:sz w:val="28"/>
          <w:szCs w:val="28"/>
          <w:lang w:val="en-US" w:eastAsia="zh-CN"/>
        </w:rPr>
      </w:pPr>
    </w:p>
    <w:p w14:paraId="0BD97380">
      <w:pPr>
        <w:numPr>
          <w:ilvl w:val="0"/>
          <w:numId w:val="0"/>
        </w:numPr>
        <w:ind w:left="510" w:leftChars="0"/>
        <w:rPr>
          <w:rFonts w:hint="eastAsia" w:ascii="方正仿宋_GB2312" w:hAnsi="方正仿宋_GB2312" w:eastAsia="方正仿宋_GB2312" w:cs="方正仿宋_GB2312"/>
          <w:b/>
          <w:bCs/>
          <w:color w:val="FF0000"/>
          <w:sz w:val="28"/>
          <w:szCs w:val="28"/>
          <w:lang w:val="en-US" w:eastAsia="zh-CN"/>
        </w:rPr>
      </w:pPr>
    </w:p>
    <w:p w14:paraId="0145F385">
      <w:pPr>
        <w:numPr>
          <w:ilvl w:val="0"/>
          <w:numId w:val="0"/>
        </w:numPr>
        <w:rPr>
          <w:rFonts w:hint="eastAsia"/>
          <w:lang w:val="en-US" w:eastAsia="zh-CN"/>
        </w:rPr>
      </w:pPr>
    </w:p>
    <w:p w14:paraId="4D63241D">
      <w:pPr>
        <w:spacing w:line="360" w:lineRule="auto"/>
        <w:jc w:val="center"/>
        <w:rPr>
          <w:rFonts w:hint="eastAsia" w:ascii="宋体" w:hAnsi="宋体" w:eastAsia="宋体" w:cs="宋体"/>
          <w:sz w:val="24"/>
          <w:szCs w:val="24"/>
          <w:lang w:val="en-US" w:eastAsia="zh-CN"/>
        </w:rPr>
      </w:pPr>
      <w:r>
        <w:rPr>
          <w:rFonts w:hint="eastAsia" w:ascii="宋体" w:eastAsia="宋体" w:cs="宋体"/>
          <w:color w:val="000000"/>
          <w:sz w:val="32"/>
          <w:szCs w:val="32"/>
          <w:lang w:val="en-US" w:eastAsia="zh-CN"/>
        </w:rPr>
        <w:t>（二）</w:t>
      </w:r>
      <w:r>
        <w:rPr>
          <w:rFonts w:hint="eastAsia" w:ascii="宋体" w:eastAsia="宋体" w:cs="宋体"/>
          <w:color w:val="000000"/>
          <w:sz w:val="32"/>
          <w:szCs w:val="32"/>
        </w:rPr>
        <w:t>商务要求</w:t>
      </w:r>
    </w:p>
    <w:p w14:paraId="54EAE58F">
      <w:pPr>
        <w:numPr>
          <w:ilvl w:val="0"/>
          <w:numId w:val="0"/>
        </w:numPr>
        <w:ind w:left="510" w:leftChars="0"/>
        <w:jc w:val="center"/>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（本项目商务要求为不允许负偏离的实质性要求和条件）</w:t>
      </w:r>
    </w:p>
    <w:p w14:paraId="09BA80D4">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交付时间</w:t>
      </w:r>
    </w:p>
    <w:p w14:paraId="0489FF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320" w:firstLineChars="100"/>
        <w:jc w:val="both"/>
        <w:textAlignment w:val="auto"/>
        <w:rPr>
          <w:rFonts w:hint="eastAsia"/>
          <w:sz w:val="32"/>
          <w:szCs w:val="40"/>
          <w:lang w:val="en-US" w:eastAsia="zh-CN"/>
        </w:rPr>
      </w:pPr>
      <w:r>
        <w:rPr>
          <w:rFonts w:hint="eastAsia"/>
          <w:sz w:val="32"/>
          <w:szCs w:val="40"/>
          <w:lang w:val="en-US" w:eastAsia="zh-CN"/>
        </w:rPr>
        <w:t>在合同签订并生效后 7天内完成供货、安装、摆放等。</w:t>
      </w:r>
    </w:p>
    <w:p w14:paraId="0E44EAD3">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交付地点</w:t>
      </w:r>
    </w:p>
    <w:p w14:paraId="2FEC555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320" w:firstLineChars="100"/>
        <w:jc w:val="both"/>
        <w:textAlignment w:val="auto"/>
        <w:rPr>
          <w:rFonts w:hint="eastAsia"/>
          <w:sz w:val="32"/>
          <w:szCs w:val="40"/>
          <w:lang w:val="en-US" w:eastAsia="zh-CN"/>
        </w:rPr>
      </w:pPr>
      <w:r>
        <w:rPr>
          <w:rFonts w:hint="eastAsia"/>
          <w:sz w:val="32"/>
          <w:szCs w:val="40"/>
          <w:lang w:val="en-US" w:eastAsia="zh-CN"/>
        </w:rPr>
        <w:t>地点：马鞍山市人民医院秀山院区2号楼负一层气动物流机房 。</w:t>
      </w:r>
    </w:p>
    <w:p w14:paraId="27F56437">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成交供应商提供的所有货物须为全新的、未使用过的原装正品。提交货物的技术参数和配置应与比选文件中的要求及其响应文件中的技术响应表（如果被评审小组接受的话）相一致。若比选文件及响应文件中无相应说明，则以国家有关部门最新颁布的相应标准及规范为准。</w:t>
      </w:r>
    </w:p>
    <w:p w14:paraId="5FC11816">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安全、消防、环保等需要由质检或行业主管部门验收的项目，采购人须约请相关部门和专家参加项目验收。所有需要质检部门进行检测才能使用的货物，报价中必须包含首次检测费用。</w:t>
      </w:r>
    </w:p>
    <w:p w14:paraId="30879713">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所有货物必须符合国家相关强制性要求。</w:t>
      </w:r>
    </w:p>
    <w:p w14:paraId="6A867921">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付款</w:t>
      </w:r>
    </w:p>
    <w:p w14:paraId="59C84B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20" w:firstLineChars="100"/>
        <w:jc w:val="both"/>
        <w:textAlignment w:val="auto"/>
        <w:rPr>
          <w:rFonts w:hint="eastAsia"/>
          <w:sz w:val="32"/>
          <w:szCs w:val="40"/>
          <w:lang w:val="en-US" w:eastAsia="zh-CN"/>
        </w:rPr>
      </w:pPr>
      <w:r>
        <w:rPr>
          <w:rFonts w:hint="eastAsia"/>
          <w:sz w:val="32"/>
          <w:szCs w:val="40"/>
          <w:lang w:val="en-US" w:eastAsia="zh-CN"/>
        </w:rPr>
        <w:t>签订合同后，3个月内支付90%合同费；一年质保期满，支付剩余10%合同费。</w:t>
      </w:r>
    </w:p>
    <w:p w14:paraId="5FD4C34B">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售后服务要求</w:t>
      </w:r>
    </w:p>
    <w:p w14:paraId="7E823A9D">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供应商提供的售后服务标准应不低于同型号产品的市场服务标准。</w:t>
      </w:r>
    </w:p>
    <w:p w14:paraId="271D14DF">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自验收合格之日起，应提供至少1年质量保证期。</w:t>
      </w:r>
    </w:p>
    <w:p w14:paraId="245C5AC9">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在质量保证期内，确因产品质量问题产生的设备更换、备件、耗材、人工等费用均由供应商承担，因人为因素出现的故障不在免费保修范围。</w:t>
      </w:r>
    </w:p>
    <w:p w14:paraId="65B6A599">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保期内，乙方应以优良的服务态度，一旦发生质量问题，乙方应在2小时内响应，4小时内到达现场，48小时内解决问题，如在48小时内不能解决问题，应免费用同样的产品更换到位。如乙方在接到通知后2小时内没有答复或处理问题，则视为乙方承认质量问题并承担由此而发生的一切费用。</w:t>
      </w:r>
    </w:p>
    <w:p w14:paraId="39342460">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425" w:leftChars="0" w:hanging="425" w:firstLineChars="0"/>
        <w:jc w:val="both"/>
        <w:textAlignment w:val="auto"/>
        <w:rPr>
          <w:rFonts w:hint="eastAsia"/>
          <w:sz w:val="32"/>
          <w:szCs w:val="40"/>
          <w:lang w:val="en-US" w:eastAsia="zh-CN"/>
        </w:rPr>
      </w:pPr>
      <w:r>
        <w:rPr>
          <w:rFonts w:hint="eastAsia"/>
          <w:sz w:val="32"/>
          <w:szCs w:val="40"/>
          <w:lang w:val="en-US" w:eastAsia="zh-CN"/>
        </w:rPr>
        <w:t>在质保期满后，乙方保证继续为甲方提供设备的维修服务，甲方应按乙方提供的不差于任何第三方的优惠价格向乙方支付相关费用，乙方保证在合同货物使用期内以不高于本合同货物、相关配件及服务的价格，并且不差于任何第三方的优惠价格，向甲方提供备品、备件及维修服务。</w:t>
      </w:r>
    </w:p>
    <w:p w14:paraId="2ABF700C">
      <w:pPr>
        <w:numPr>
          <w:ilvl w:val="0"/>
          <w:numId w:val="0"/>
        </w:numPr>
        <w:rPr>
          <w:rFonts w:hint="eastAsia" w:ascii="方正仿宋_GB2312" w:hAnsi="方正仿宋_GB2312" w:eastAsia="方正仿宋_GB2312" w:cs="方正仿宋_GB2312"/>
          <w:sz w:val="28"/>
          <w:szCs w:val="28"/>
          <w:lang w:val="en-US" w:eastAsia="zh-CN"/>
        </w:rPr>
      </w:pPr>
    </w:p>
    <w:p w14:paraId="534C6034">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A9B6C06-8109-4E79-B344-41371CCE3810}"/>
  </w:font>
  <w:font w:name="仿宋_GB2312">
    <w:panose1 w:val="02010609030101010101"/>
    <w:charset w:val="86"/>
    <w:family w:val="modern"/>
    <w:pitch w:val="default"/>
    <w:sig w:usb0="00000001" w:usb1="080E0000" w:usb2="00000000" w:usb3="00000000" w:csb0="00040000" w:csb1="00000000"/>
  </w:font>
  <w:font w:name="方正仿宋_GB2312">
    <w:panose1 w:val="02000000000000000000"/>
    <w:charset w:val="7A"/>
    <w:family w:val="auto"/>
    <w:pitch w:val="default"/>
    <w:sig w:usb0="A00002BF" w:usb1="184F6CFA" w:usb2="00000012" w:usb3="00000000" w:csb0="00040001" w:csb1="00000000"/>
    <w:embedRegular r:id="rId2" w:fontKey="{5E668B62-5F9D-4F66-AB9D-087DB2B3619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decimal"/>
      <w:lvlText w:val="(%1)"/>
      <w:lvlJc w:val="left"/>
      <w:pPr>
        <w:ind w:left="425" w:hanging="425"/>
      </w:pPr>
      <w:rPr>
        <w:rFonts w:hint="default"/>
      </w:rPr>
    </w:lvl>
  </w:abstractNum>
  <w:abstractNum w:abstractNumId="1">
    <w:nsid w:val="00000005"/>
    <w:multiLevelType w:val="singleLevel"/>
    <w:tmpl w:val="00000005"/>
    <w:lvl w:ilvl="0" w:tentative="0">
      <w:start w:val="1"/>
      <w:numFmt w:val="decimal"/>
      <w:lvlText w:val="%1."/>
      <w:lvlJc w:val="left"/>
      <w:pPr>
        <w:ind w:left="425" w:hanging="425"/>
      </w:pPr>
      <w:rPr>
        <w:rFonts w:hint="default"/>
      </w:rPr>
    </w:lvl>
  </w:abstractNum>
  <w:abstractNum w:abstractNumId="2">
    <w:nsid w:val="00000008"/>
    <w:multiLevelType w:val="singleLevel"/>
    <w:tmpl w:val="00000008"/>
    <w:lvl w:ilvl="0" w:tentative="0">
      <w:start w:val="1"/>
      <w:numFmt w:val="decimal"/>
      <w:lvlText w:val="%1."/>
      <w:lvlJc w:val="left"/>
      <w:pPr>
        <w:ind w:left="425" w:hanging="425"/>
      </w:pPr>
      <w:rPr>
        <w:rFonts w:hint="default"/>
      </w:rPr>
    </w:lvl>
  </w:abstractNum>
  <w:abstractNum w:abstractNumId="3">
    <w:nsid w:val="0000000A"/>
    <w:multiLevelType w:val="singleLevel"/>
    <w:tmpl w:val="0000000A"/>
    <w:lvl w:ilvl="0" w:tentative="0">
      <w:start w:val="1"/>
      <w:numFmt w:val="decimal"/>
      <w:lvlText w:val="%1."/>
      <w:lvlJc w:val="left"/>
      <w:pPr>
        <w:ind w:left="425" w:hanging="425"/>
      </w:pPr>
      <w:rPr>
        <w:rFonts w:hint="default"/>
      </w:rPr>
    </w:lvl>
  </w:abstractNum>
  <w:abstractNum w:abstractNumId="4">
    <w:nsid w:val="0000000D"/>
    <w:multiLevelType w:val="singleLevel"/>
    <w:tmpl w:val="0000000D"/>
    <w:lvl w:ilvl="0" w:tentative="0">
      <w:start w:val="1"/>
      <w:numFmt w:val="decimal"/>
      <w:lvlText w:val="%1."/>
      <w:lvlJc w:val="left"/>
      <w:pPr>
        <w:ind w:left="425" w:hanging="425"/>
      </w:pPr>
      <w:rPr>
        <w:rFonts w:hint="default"/>
      </w:rPr>
    </w:lvl>
  </w:abstractNum>
  <w:abstractNum w:abstractNumId="5">
    <w:nsid w:val="0000000E"/>
    <w:multiLevelType w:val="singleLevel"/>
    <w:tmpl w:val="0000000E"/>
    <w:lvl w:ilvl="0" w:tentative="0">
      <w:start w:val="1"/>
      <w:numFmt w:val="chineseCounting"/>
      <w:suff w:val="nothing"/>
      <w:lvlText w:val="%1、"/>
      <w:lvlJc w:val="left"/>
      <w:pPr>
        <w:ind w:left="0" w:firstLine="420"/>
      </w:pPr>
      <w:rPr>
        <w:rFonts w:hint="eastAsia"/>
      </w:rPr>
    </w:lvl>
  </w:abstractNum>
  <w:abstractNum w:abstractNumId="6">
    <w:nsid w:val="0000000F"/>
    <w:multiLevelType w:val="singleLevel"/>
    <w:tmpl w:val="0000000F"/>
    <w:lvl w:ilvl="0" w:tentative="0">
      <w:start w:val="1"/>
      <w:numFmt w:val="decimal"/>
      <w:lvlText w:val="%1."/>
      <w:lvlJc w:val="left"/>
      <w:pPr>
        <w:ind w:left="425" w:hanging="425"/>
      </w:pPr>
      <w:rPr>
        <w:rFonts w:hint="default"/>
      </w:rPr>
    </w:lvl>
  </w:abstractNum>
  <w:num w:numId="1">
    <w:abstractNumId w:val="5"/>
  </w:num>
  <w:num w:numId="2">
    <w:abstractNumId w:val="2"/>
  </w:num>
  <w:num w:numId="3">
    <w:abstractNumId w:val="3"/>
  </w:num>
  <w:num w:numId="4">
    <w:abstractNumId w:val="1"/>
  </w:num>
  <w:num w:numId="5">
    <w:abstractNumId w:val="4"/>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06A45"/>
    <w:rsid w:val="34806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8" w:lineRule="auto"/>
      <w:outlineLvl w:val="0"/>
    </w:pPr>
    <w:rPr>
      <w:rFonts w:ascii="Times New Roman" w:hAnsi="Times New Roman" w:eastAsia="宋体" w:cs="Times New Roman"/>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cs="Times New Roman"/>
      <w:b/>
      <w:kern w:val="0"/>
      <w:sz w:val="32"/>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2025-04-30T02:11:00Z</dcterms:created>
  <dc:creator>高杨</dc:creator>
  <cp:lastModifiedBy>高杨</cp:lastModifiedBy>
  <dcterms:modified xsi:type="dcterms:W3CDTF">2025-04-30T02:11:26Z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9F5E29710B5B4DB3A962DBDA80963410_11</vt:lpwstr>
  </property>
  <property fmtid="{D5CDD505-2E9C-101B-9397-08002B2CF9AE}" pid="4" name="KSOTemplateDocerSaveRecord">
    <vt:lpwstr>eyJoZGlkIjoiMjU5NzRhZDBkZDkwNDZlZDExYzFkOTc4ZWIwMjc2MDAiLCJ1c2VySWQiOiI0OTQ3NTI0ODcifQ==</vt:lpwstr>
  </property>
</Properties>
</file>