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4F0F90E">
      <w:pPr>
        <w:widowControl/>
        <w:spacing w:line="560" w:lineRule="exact"/>
        <w:jc w:val="center"/>
        <w:rPr>
          <w:rFonts w:hint="eastAsia" w:ascii="Times New Roman" w:hAnsi="Times New Roman" w:eastAsia="方正小标宋简体" w:cs="Times New Roman"/>
          <w:b w:val="0"/>
          <w:bCs/>
          <w:color w:val="auto"/>
          <w:sz w:val="44"/>
          <w:szCs w:val="44"/>
        </w:rPr>
      </w:pPr>
    </w:p>
    <w:p w14:paraId="41418491">
      <w:pPr>
        <w:widowControl/>
        <w:spacing w:line="560" w:lineRule="exact"/>
        <w:jc w:val="center"/>
        <w:rPr>
          <w:rFonts w:hint="eastAsia" w:ascii="Times New Roman" w:hAnsi="Times New Roman" w:eastAsia="方正小标宋简体" w:cs="Times New Roman"/>
          <w:b w:val="0"/>
          <w:bCs/>
          <w:color w:val="auto"/>
          <w:sz w:val="44"/>
          <w:szCs w:val="44"/>
          <w:lang w:val="en-US" w:eastAsia="zh-CN"/>
        </w:rPr>
      </w:pPr>
      <w:r>
        <w:rPr>
          <w:rFonts w:hint="eastAsia" w:ascii="Times New Roman" w:hAnsi="Times New Roman" w:eastAsia="方正小标宋简体" w:cs="Times New Roman"/>
          <w:b w:val="0"/>
          <w:bCs/>
          <w:color w:val="auto"/>
          <w:sz w:val="44"/>
          <w:szCs w:val="44"/>
        </w:rPr>
        <w:t>马鞍山市人民医院</w:t>
      </w:r>
    </w:p>
    <w:p w14:paraId="244B9AE3">
      <w:pPr>
        <w:widowControl/>
        <w:spacing w:line="560" w:lineRule="exact"/>
        <w:jc w:val="center"/>
        <w:rPr>
          <w:rFonts w:hint="eastAsia" w:ascii="Times New Roman" w:hAnsi="Times New Roman" w:eastAsia="方正小标宋简体" w:cs="Times New Roman"/>
          <w:b w:val="0"/>
          <w:bCs/>
          <w:color w:val="auto"/>
          <w:sz w:val="44"/>
          <w:szCs w:val="44"/>
        </w:rPr>
      </w:pPr>
      <w:r>
        <w:rPr>
          <w:rFonts w:hint="eastAsia" w:ascii="Times New Roman" w:hAnsi="Times New Roman" w:eastAsia="方正小标宋简体" w:cs="Times New Roman"/>
          <w:b w:val="0"/>
          <w:bCs/>
          <w:color w:val="auto"/>
          <w:sz w:val="44"/>
          <w:szCs w:val="44"/>
        </w:rPr>
        <w:t>消防维保</w:t>
      </w:r>
      <w:r>
        <w:rPr>
          <w:rFonts w:hint="eastAsia" w:ascii="Times New Roman" w:hAnsi="Times New Roman" w:eastAsia="方正小标宋简体" w:cs="Times New Roman"/>
          <w:b w:val="0"/>
          <w:bCs/>
          <w:color w:val="auto"/>
          <w:sz w:val="44"/>
          <w:szCs w:val="44"/>
          <w:lang w:val="en-US" w:eastAsia="zh-CN"/>
        </w:rPr>
        <w:t>服务</w:t>
      </w:r>
      <w:r>
        <w:rPr>
          <w:rFonts w:hint="eastAsia" w:ascii="Times New Roman" w:hAnsi="Times New Roman" w:eastAsia="方正小标宋简体" w:cs="Times New Roman"/>
          <w:b w:val="0"/>
          <w:bCs/>
          <w:color w:val="auto"/>
          <w:sz w:val="44"/>
          <w:szCs w:val="44"/>
        </w:rPr>
        <w:t>概况及需求</w:t>
      </w:r>
    </w:p>
    <w:p w14:paraId="34D269FE">
      <w:pPr>
        <w:pStyle w:val="2"/>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cs="Times New Roman"/>
          <w:color w:val="auto"/>
        </w:rPr>
      </w:pPr>
    </w:p>
    <w:p w14:paraId="6234F833">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仿宋" w:cs="Times New Roman"/>
          <w:b/>
          <w:color w:val="auto"/>
          <w:sz w:val="32"/>
          <w:szCs w:val="32"/>
        </w:rPr>
      </w:pPr>
      <w:r>
        <w:rPr>
          <w:rFonts w:hint="eastAsia" w:ascii="Times New Roman" w:hAnsi="Times New Roman" w:eastAsia="仿宋" w:cs="Times New Roman"/>
          <w:b/>
          <w:color w:val="auto"/>
          <w:sz w:val="32"/>
          <w:szCs w:val="32"/>
        </w:rPr>
        <w:t>项目概况</w:t>
      </w:r>
    </w:p>
    <w:p w14:paraId="4050F600">
      <w:pPr>
        <w:pStyle w:val="2"/>
        <w:keepNext w:val="0"/>
        <w:keepLines w:val="0"/>
        <w:pageBreakBefore w:val="0"/>
        <w:widowControl w:val="0"/>
        <w:kinsoku/>
        <w:wordWrap/>
        <w:overflowPunct/>
        <w:topLinePunct/>
        <w:autoSpaceDE/>
        <w:autoSpaceDN/>
        <w:bidi w:val="0"/>
        <w:adjustRightInd/>
        <w:snapToGrid/>
        <w:spacing w:line="560" w:lineRule="exact"/>
        <w:ind w:firstLine="640" w:firstLineChars="200"/>
        <w:textAlignment w:val="auto"/>
        <w:rPr>
          <w:rFonts w:hint="default" w:ascii="Times New Roman" w:hAnsi="Times New Roman" w:eastAsia="仿宋_GB2312" w:cs="Times New Roman"/>
          <w:b w:val="0"/>
          <w:bCs/>
          <w:color w:val="auto"/>
          <w:lang w:val="en-US" w:eastAsia="zh-CN"/>
        </w:rPr>
      </w:pPr>
      <w:r>
        <w:rPr>
          <w:rFonts w:hint="eastAsia" w:ascii="Times New Roman" w:hAnsi="Times New Roman" w:eastAsia="仿宋_GB2312" w:cs="Times New Roman"/>
          <w:b w:val="0"/>
          <w:bCs/>
          <w:color w:val="auto"/>
        </w:rPr>
        <w:t>马鞍山市人民医院</w:t>
      </w:r>
      <w:r>
        <w:rPr>
          <w:rFonts w:hint="eastAsia" w:ascii="Times New Roman" w:hAnsi="Times New Roman" w:eastAsia="仿宋_GB2312" w:cs="Times New Roman"/>
          <w:b w:val="0"/>
          <w:bCs/>
          <w:color w:val="auto"/>
          <w:lang w:val="en-US" w:eastAsia="zh-CN"/>
        </w:rPr>
        <w:t>现分为雨山湖院区和秀山院区两个部分。其中雨山湖院区和秀山院区（二期）的维保服务将于3月26日到期，秀山院区（一期）的维保服务将于8月31日到期，本次维保服务招标将打包两院区三部分共同管理，其中首年由于3月27日-8月31日期间，秀山院区（一期）的维保无需中标方负责，</w:t>
      </w:r>
      <w:r>
        <w:rPr>
          <w:rFonts w:hint="default" w:ascii="Times New Roman" w:hAnsi="Times New Roman" w:eastAsia="仿宋_GB2312" w:cs="Times New Roman"/>
          <w:b w:val="0"/>
          <w:bCs/>
          <w:color w:val="auto"/>
          <w:lang w:eastAsia="zh-CN"/>
        </w:rPr>
        <w:t>首年</w:t>
      </w:r>
      <w:r>
        <w:rPr>
          <w:rFonts w:hint="eastAsia" w:ascii="Times New Roman" w:hAnsi="Times New Roman" w:eastAsia="仿宋_GB2312" w:cs="Times New Roman"/>
          <w:b w:val="0"/>
          <w:bCs/>
          <w:color w:val="auto"/>
          <w:lang w:val="en-US" w:eastAsia="zh-CN"/>
        </w:rPr>
        <w:t>费用结算时将</w:t>
      </w:r>
      <w:r>
        <w:rPr>
          <w:rFonts w:hint="default" w:ascii="Times New Roman" w:hAnsi="Times New Roman" w:eastAsia="仿宋_GB2312" w:cs="Times New Roman"/>
          <w:b w:val="0"/>
          <w:bCs/>
          <w:color w:val="auto"/>
          <w:lang w:eastAsia="zh-CN"/>
        </w:rPr>
        <w:t>扣除</w:t>
      </w:r>
      <w:r>
        <w:rPr>
          <w:rFonts w:hint="eastAsia" w:ascii="Times New Roman" w:hAnsi="Times New Roman" w:eastAsia="仿宋_GB2312" w:cs="Times New Roman"/>
          <w:b w:val="0"/>
          <w:bCs/>
          <w:color w:val="auto"/>
          <w:lang w:val="en-US" w:eastAsia="zh-CN"/>
        </w:rPr>
        <w:t>该部分</w:t>
      </w:r>
      <w:r>
        <w:rPr>
          <w:rFonts w:hint="default" w:ascii="Times New Roman" w:hAnsi="Times New Roman" w:eastAsia="仿宋_GB2312" w:cs="Times New Roman"/>
          <w:b w:val="0"/>
          <w:bCs/>
          <w:color w:val="auto"/>
          <w:lang w:eastAsia="zh-CN"/>
        </w:rPr>
        <w:t>医院现有</w:t>
      </w:r>
      <w:r>
        <w:rPr>
          <w:rFonts w:hint="eastAsia" w:ascii="Times New Roman" w:hAnsi="Times New Roman" w:eastAsia="仿宋_GB2312" w:cs="Times New Roman"/>
          <w:b w:val="0"/>
          <w:bCs/>
          <w:color w:val="auto"/>
          <w:lang w:val="en-US" w:eastAsia="zh-CN"/>
        </w:rPr>
        <w:t>合同价</w:t>
      </w:r>
      <w:r>
        <w:rPr>
          <w:rFonts w:hint="default" w:ascii="Times New Roman" w:hAnsi="Times New Roman" w:eastAsia="仿宋_GB2312" w:cs="Times New Roman"/>
          <w:b w:val="0"/>
          <w:bCs/>
          <w:color w:val="auto"/>
          <w:lang w:eastAsia="zh-CN"/>
        </w:rPr>
        <w:t>按日期折算之后的价格</w:t>
      </w:r>
      <w:r>
        <w:rPr>
          <w:rFonts w:hint="eastAsia" w:ascii="Times New Roman" w:hAnsi="Times New Roman" w:eastAsia="仿宋_GB2312" w:cs="Times New Roman"/>
          <w:b w:val="0"/>
          <w:bCs/>
          <w:color w:val="auto"/>
          <w:lang w:eastAsia="zh-CN"/>
        </w:rPr>
        <w:t>（</w:t>
      </w:r>
      <w:r>
        <w:rPr>
          <w:rFonts w:hint="eastAsia" w:ascii="Times New Roman" w:hAnsi="Times New Roman" w:eastAsia="仿宋_GB2312" w:cs="Times New Roman"/>
          <w:b w:val="0"/>
          <w:bCs/>
          <w:color w:val="auto"/>
          <w:lang w:val="en-US" w:eastAsia="zh-CN"/>
        </w:rPr>
        <w:t>65421元</w:t>
      </w:r>
      <w:r>
        <w:rPr>
          <w:rFonts w:hint="eastAsia" w:ascii="Times New Roman" w:hAnsi="Times New Roman" w:eastAsia="仿宋_GB2312" w:cs="Times New Roman"/>
          <w:b w:val="0"/>
          <w:bCs/>
          <w:color w:val="auto"/>
          <w:lang w:eastAsia="zh-CN"/>
        </w:rPr>
        <w:t>）</w:t>
      </w:r>
      <w:r>
        <w:rPr>
          <w:rFonts w:hint="eastAsia" w:ascii="Times New Roman" w:hAnsi="Times New Roman" w:eastAsia="仿宋_GB2312" w:cs="Times New Roman"/>
          <w:b w:val="0"/>
          <w:bCs/>
          <w:color w:val="auto"/>
          <w:lang w:val="en-US" w:eastAsia="zh-CN"/>
        </w:rPr>
        <w:t>。</w:t>
      </w:r>
    </w:p>
    <w:p w14:paraId="38BA72A5">
      <w:pPr>
        <w:pStyle w:val="2"/>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b w:val="0"/>
          <w:bCs/>
          <w:color w:val="auto"/>
        </w:rPr>
      </w:pPr>
      <w:r>
        <w:rPr>
          <w:rFonts w:hint="eastAsia" w:ascii="Times New Roman" w:hAnsi="Times New Roman" w:eastAsia="仿宋_GB2312" w:cs="Times New Roman"/>
          <w:b w:val="0"/>
          <w:bCs/>
          <w:color w:val="auto"/>
          <w:lang w:val="en-US" w:eastAsia="zh-CN"/>
        </w:rPr>
        <w:t>雨山湖院区</w:t>
      </w:r>
      <w:r>
        <w:rPr>
          <w:rFonts w:hint="eastAsia" w:ascii="Times New Roman" w:hAnsi="Times New Roman" w:eastAsia="仿宋_GB2312" w:cs="Times New Roman"/>
          <w:b w:val="0"/>
          <w:bCs/>
          <w:color w:val="auto"/>
        </w:rPr>
        <w:t>建设用地面积约 42143</w:t>
      </w:r>
      <w:r>
        <w:rPr>
          <w:rFonts w:hint="eastAsia" w:ascii="Times New Roman" w:hAnsi="Times New Roman" w:eastAsia="仿宋_GB2312" w:cs="Times New Roman"/>
          <w:b w:val="0"/>
          <w:bCs/>
          <w:color w:val="auto"/>
          <w:lang w:val="en-US" w:eastAsia="zh-CN"/>
        </w:rPr>
        <w:t>m</w:t>
      </w:r>
      <w:r>
        <w:rPr>
          <w:rFonts w:hint="eastAsia" w:ascii="Times New Roman" w:hAnsi="Times New Roman" w:eastAsia="仿宋_GB2312" w:cs="Times New Roman"/>
          <w:b w:val="0"/>
          <w:bCs/>
          <w:color w:val="auto"/>
          <w:vertAlign w:val="superscript"/>
          <w:lang w:val="en-US" w:eastAsia="zh-CN"/>
        </w:rPr>
        <w:t>2</w:t>
      </w:r>
      <w:r>
        <w:rPr>
          <w:rFonts w:hint="eastAsia" w:ascii="Times New Roman" w:hAnsi="Times New Roman" w:eastAsia="仿宋_GB2312" w:cs="Times New Roman"/>
          <w:b w:val="0"/>
          <w:bCs/>
          <w:color w:val="auto"/>
        </w:rPr>
        <w:t>，总建筑面积约</w:t>
      </w:r>
      <w:r>
        <w:rPr>
          <w:rFonts w:hint="eastAsia" w:ascii="Times New Roman" w:hAnsi="Times New Roman" w:eastAsia="仿宋_GB2312" w:cs="Times New Roman"/>
          <w:b w:val="0"/>
          <w:bCs/>
          <w:color w:val="auto"/>
          <w:lang w:val="en-US" w:eastAsia="zh-CN"/>
        </w:rPr>
        <w:t>55709m</w:t>
      </w:r>
      <w:r>
        <w:rPr>
          <w:rFonts w:hint="eastAsia" w:ascii="Times New Roman" w:hAnsi="Times New Roman" w:eastAsia="仿宋_GB2312" w:cs="Times New Roman"/>
          <w:b w:val="0"/>
          <w:bCs/>
          <w:color w:val="auto"/>
          <w:vertAlign w:val="superscript"/>
          <w:lang w:val="en-US" w:eastAsia="zh-CN"/>
        </w:rPr>
        <w:t>2</w:t>
      </w:r>
      <w:r>
        <w:rPr>
          <w:rFonts w:hint="eastAsia" w:ascii="Times New Roman" w:hAnsi="Times New Roman" w:eastAsia="仿宋_GB2312" w:cs="Times New Roman"/>
          <w:b w:val="0"/>
          <w:bCs/>
          <w:color w:val="auto"/>
        </w:rPr>
        <w:t>，包含门诊大楼、急诊楼、</w:t>
      </w:r>
      <w:r>
        <w:rPr>
          <w:rFonts w:hint="eastAsia" w:ascii="Times New Roman" w:hAnsi="Times New Roman" w:eastAsia="仿宋_GB2312" w:cs="Times New Roman"/>
          <w:b w:val="0"/>
          <w:bCs/>
          <w:color w:val="auto"/>
          <w:lang w:val="en-US" w:eastAsia="zh-CN"/>
        </w:rPr>
        <w:t>住院</w:t>
      </w:r>
      <w:r>
        <w:rPr>
          <w:rFonts w:hint="eastAsia" w:ascii="Times New Roman" w:hAnsi="Times New Roman" w:eastAsia="仿宋_GB2312" w:cs="Times New Roman"/>
          <w:b w:val="0"/>
          <w:bCs/>
          <w:color w:val="auto"/>
        </w:rPr>
        <w:t>楼，病理科楼、食堂综合楼、</w:t>
      </w:r>
      <w:r>
        <w:rPr>
          <w:rFonts w:hint="eastAsia" w:ascii="Times New Roman" w:hAnsi="Times New Roman" w:eastAsia="仿宋_GB2312" w:cs="Times New Roman"/>
          <w:b w:val="0"/>
          <w:bCs/>
          <w:color w:val="auto"/>
          <w:lang w:val="en-US" w:eastAsia="zh-CN"/>
        </w:rPr>
        <w:t>文联办公楼及其他</w:t>
      </w:r>
      <w:r>
        <w:rPr>
          <w:rFonts w:hint="eastAsia" w:ascii="Times New Roman" w:hAnsi="Times New Roman" w:eastAsia="仿宋_GB2312" w:cs="Times New Roman"/>
          <w:b w:val="0"/>
          <w:bCs/>
          <w:color w:val="auto"/>
        </w:rPr>
        <w:t>辅助用房。消防设施主要有火灾自动报警系统、自动喷水灭火系统、室内外消火栓系统、气体灭火系统、机械防排烟系统、防火门、防火卷帘门、应急照明和疏散指示系统，其中室内消火栓2</w:t>
      </w:r>
      <w:r>
        <w:rPr>
          <w:rFonts w:hint="eastAsia" w:ascii="Times New Roman" w:hAnsi="Times New Roman" w:eastAsia="仿宋_GB2312" w:cs="Times New Roman"/>
          <w:b w:val="0"/>
          <w:bCs/>
          <w:color w:val="auto"/>
          <w:lang w:val="en-US" w:eastAsia="zh-CN"/>
        </w:rPr>
        <w:t>64</w:t>
      </w:r>
      <w:r>
        <w:rPr>
          <w:rFonts w:hint="eastAsia" w:ascii="Times New Roman" w:hAnsi="Times New Roman" w:eastAsia="仿宋_GB2312" w:cs="Times New Roman"/>
          <w:b w:val="0"/>
          <w:bCs/>
          <w:color w:val="auto"/>
        </w:rPr>
        <w:t>个、室外消火栓5个、手提式干粉灭火器774个、烟感1793个、温感138个，消火栓泵2台、喷淋泵2台、稳压泵6台、应急照明灯665个、疏散指示灯705个、防火卷帘门21樘、防火门328樘。</w:t>
      </w:r>
    </w:p>
    <w:p w14:paraId="67B6AEDC">
      <w:pPr>
        <w:pStyle w:val="2"/>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b w:val="0"/>
          <w:bCs/>
          <w:color w:val="auto"/>
          <w:lang w:val="en-US" w:eastAsia="zh-CN"/>
        </w:rPr>
      </w:pPr>
      <w:r>
        <w:rPr>
          <w:rFonts w:hint="eastAsia" w:ascii="Times New Roman" w:hAnsi="Times New Roman" w:eastAsia="仿宋_GB2312" w:cs="Times New Roman"/>
          <w:b w:val="0"/>
          <w:bCs/>
          <w:color w:val="auto"/>
          <w:lang w:val="en-US" w:eastAsia="zh-CN"/>
        </w:rPr>
        <w:t>秀山院区（一期）建设用地面积16900m</w:t>
      </w:r>
      <w:r>
        <w:rPr>
          <w:rFonts w:hint="eastAsia" w:ascii="Times New Roman" w:hAnsi="Times New Roman" w:eastAsia="仿宋_GB2312" w:cs="Times New Roman"/>
          <w:b w:val="0"/>
          <w:bCs/>
          <w:color w:val="auto"/>
          <w:vertAlign w:val="superscript"/>
          <w:lang w:val="en-US" w:eastAsia="zh-CN"/>
        </w:rPr>
        <w:t>2</w:t>
      </w:r>
      <w:r>
        <w:rPr>
          <w:rFonts w:hint="eastAsia" w:ascii="Times New Roman" w:hAnsi="Times New Roman" w:eastAsia="仿宋_GB2312" w:cs="Times New Roman"/>
          <w:b w:val="0"/>
          <w:bCs/>
          <w:color w:val="auto"/>
          <w:lang w:val="en-US" w:eastAsia="zh-CN"/>
        </w:rPr>
        <w:t>,总建筑面积约97192m</w:t>
      </w:r>
      <w:r>
        <w:rPr>
          <w:rFonts w:hint="eastAsia" w:ascii="Times New Roman" w:hAnsi="Times New Roman" w:eastAsia="仿宋_GB2312" w:cs="Times New Roman"/>
          <w:b w:val="0"/>
          <w:bCs/>
          <w:color w:val="auto"/>
          <w:vertAlign w:val="superscript"/>
          <w:lang w:val="en-US" w:eastAsia="zh-CN"/>
        </w:rPr>
        <w:t>2</w:t>
      </w:r>
      <w:r>
        <w:rPr>
          <w:rFonts w:hint="eastAsia" w:ascii="Times New Roman" w:hAnsi="Times New Roman" w:eastAsia="仿宋_GB2312" w:cs="Times New Roman"/>
          <w:b w:val="0"/>
          <w:bCs/>
          <w:color w:val="auto"/>
          <w:lang w:val="en-US" w:eastAsia="zh-CN"/>
        </w:rPr>
        <w:t>,包含门诊楼、二号住院楼及区域内地下室。消防设施主要有火灾自动报警系统、室内外消火栓系统、自动喷水灭火系统、气体灭火系统、防烟排烟系统、应急照明及疏散指示系统、电气火灾监控系统、消防电源监控系统、防火门监控系统、防火卷帘、灭火器、消防软管卷盘。</w:t>
      </w:r>
    </w:p>
    <w:p w14:paraId="32849067">
      <w:pPr>
        <w:pStyle w:val="2"/>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b w:val="0"/>
          <w:bCs/>
          <w:color w:val="auto"/>
          <w:lang w:val="en-US"/>
        </w:rPr>
      </w:pPr>
      <w:r>
        <w:rPr>
          <w:rFonts w:hint="eastAsia" w:ascii="Times New Roman" w:hAnsi="Times New Roman" w:eastAsia="仿宋_GB2312" w:cs="Times New Roman"/>
          <w:b w:val="0"/>
          <w:bCs/>
          <w:color w:val="auto"/>
          <w:lang w:val="en-US" w:eastAsia="zh-CN"/>
        </w:rPr>
        <w:t>秀山院区（二期）建设用地面积97192m</w:t>
      </w:r>
      <w:r>
        <w:rPr>
          <w:rFonts w:hint="eastAsia" w:ascii="Times New Roman" w:hAnsi="Times New Roman" w:eastAsia="仿宋_GB2312" w:cs="Times New Roman"/>
          <w:b w:val="0"/>
          <w:bCs/>
          <w:color w:val="auto"/>
          <w:vertAlign w:val="superscript"/>
          <w:lang w:val="en-US" w:eastAsia="zh-CN"/>
        </w:rPr>
        <w:t>2</w:t>
      </w:r>
      <w:r>
        <w:rPr>
          <w:rFonts w:hint="eastAsia" w:ascii="Times New Roman" w:hAnsi="Times New Roman" w:eastAsia="仿宋_GB2312" w:cs="Times New Roman"/>
          <w:b w:val="0"/>
          <w:bCs/>
          <w:color w:val="auto"/>
          <w:lang w:val="en-US" w:eastAsia="zh-CN"/>
        </w:rPr>
        <w:t>,总建筑面积约76380m</w:t>
      </w:r>
      <w:r>
        <w:rPr>
          <w:rFonts w:hint="eastAsia" w:ascii="Times New Roman" w:hAnsi="Times New Roman" w:eastAsia="仿宋_GB2312" w:cs="Times New Roman"/>
          <w:b w:val="0"/>
          <w:bCs/>
          <w:color w:val="auto"/>
          <w:vertAlign w:val="superscript"/>
          <w:lang w:val="en-US" w:eastAsia="zh-CN"/>
        </w:rPr>
        <w:t>2</w:t>
      </w:r>
      <w:r>
        <w:rPr>
          <w:rFonts w:hint="eastAsia" w:ascii="Times New Roman" w:hAnsi="Times New Roman" w:eastAsia="仿宋_GB2312" w:cs="Times New Roman"/>
          <w:b w:val="0"/>
          <w:bCs/>
          <w:color w:val="auto"/>
          <w:lang w:val="en-US" w:eastAsia="zh-CN"/>
        </w:rPr>
        <w:t>,包含三号住院楼、行政科研楼、感染病房楼、核医学楼及区域内地下室。消防设施主要有火灾自动报警系统、室内外消火栓系统、自动喷水灭火系统、气体灭火系统、防烟排烟系统、应急照明及疏散指示系统、电气火灾监控系统、消防电源监控系统、防火门监控系统、防火卷帘、灭火器、消防软管卷盘。</w:t>
      </w:r>
    </w:p>
    <w:p w14:paraId="343F6456">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仿宋" w:cs="Times New Roman"/>
          <w:b/>
          <w:color w:val="auto"/>
          <w:sz w:val="32"/>
          <w:szCs w:val="32"/>
          <w:lang w:val="en-US"/>
        </w:rPr>
      </w:pPr>
      <w:r>
        <w:rPr>
          <w:rFonts w:hint="eastAsia" w:ascii="Times New Roman" w:hAnsi="Times New Roman" w:eastAsia="仿宋" w:cs="Times New Roman"/>
          <w:b/>
          <w:color w:val="auto"/>
          <w:sz w:val="32"/>
          <w:szCs w:val="32"/>
          <w:lang w:val="en-US"/>
        </w:rPr>
        <w:t>项目维保内容</w:t>
      </w:r>
    </w:p>
    <w:p w14:paraId="5708DA78">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lang w:val="en-US" w:eastAsia="zh-CN"/>
        </w:rPr>
        <w:t>项目维保主要内容包括：</w:t>
      </w:r>
    </w:p>
    <w:p w14:paraId="57F29256">
      <w:pPr>
        <w:pStyle w:val="2"/>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b w:val="0"/>
          <w:bCs/>
          <w:color w:val="auto"/>
          <w:kern w:val="2"/>
          <w:sz w:val="32"/>
          <w:szCs w:val="32"/>
          <w:lang w:val="en-US" w:eastAsia="zh-CN" w:bidi="ar-SA"/>
        </w:rPr>
      </w:pPr>
      <w:r>
        <w:rPr>
          <w:rFonts w:hint="eastAsia" w:ascii="Times New Roman" w:hAnsi="Times New Roman" w:eastAsia="仿宋_GB2312" w:cs="Times New Roman"/>
          <w:b w:val="0"/>
          <w:bCs/>
          <w:color w:val="auto"/>
          <w:kern w:val="2"/>
          <w:sz w:val="32"/>
          <w:szCs w:val="32"/>
          <w:lang w:val="en-US" w:eastAsia="zh-CN" w:bidi="ar-SA"/>
        </w:rPr>
        <w:t>1.两院区所有消防设施的维护保养、年度检测、平面图制作安装等项目，除七类设备（1.风机系统；2.消防泵体及其管道系统、喷淋泵体及其管道系统；3.消防主机、气体灭火报警主机；4.防火卷帘门；5.消防水箱；6.室内外消火栓；7.电源控制柜）的配件发生损坏和灭火器产品过期由招标方进行采购，中标方负责维修或更换（含人工），其它设备如烟感探测器、温感探测器、楼层显示盘、闭门器、手动报警器、声光报警器、消火栓玻璃及按钮、消防广播、喷淋头、信号模块、水枪、水带、应急疏散指示灯、应急照明等所有关联末端设备的检查维护保养、故障损坏一律由中标方负责出资更换维修（包含合同签署前已存在的故障损坏，更换设施的品牌为国内一线品牌，质保期至少一年，供货时需提供消防报警产品、消防联网产品制造商授权书），招标方对更换的设备签字确认，确保系统运行正常。</w:t>
      </w:r>
    </w:p>
    <w:p w14:paraId="52732B5E">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lang w:val="en-US" w:eastAsia="zh-CN"/>
        </w:rPr>
        <w:t>2.中标单位每月配合医院开展消防检查（含灭火器、消防栓检查）等工作。</w:t>
      </w:r>
    </w:p>
    <w:p w14:paraId="5988101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lang w:val="en-US" w:eastAsia="zh-CN"/>
        </w:rPr>
        <w:t>3.中标单位需每个月出具消防维保报告，每年年底对医院消防设施整体情况进行系统的检测，并出具年度“建筑消防设施检测报告”，每年年底出具年度消防标准化系统评价报告。</w:t>
      </w:r>
    </w:p>
    <w:p w14:paraId="64AC08C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lang w:val="en-US" w:eastAsia="zh-CN"/>
        </w:rPr>
        <w:t>4.中标单位负责绘制、安装消防标识和各区域内安全疏散平面图以及上级消防部门要求绘制的图纸。</w:t>
      </w:r>
    </w:p>
    <w:p w14:paraId="422D9CE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lang w:val="en-US" w:eastAsia="zh-CN"/>
        </w:rPr>
        <w:t>5.中标单位负责建立消防设施台账、消防安全隐患排查、整改方案、整改实施。</w:t>
      </w:r>
    </w:p>
    <w:p w14:paraId="3B68813E">
      <w:pPr>
        <w:keepNext w:val="0"/>
        <w:keepLines w:val="0"/>
        <w:pageBreakBefore w:val="0"/>
        <w:widowControl/>
        <w:suppressLineNumbers w:val="0"/>
        <w:kinsoku/>
        <w:wordWrap/>
        <w:overflowPunct/>
        <w:topLinePunct w:val="0"/>
        <w:autoSpaceDE/>
        <w:autoSpaceDN/>
        <w:bidi w:val="0"/>
        <w:adjustRightInd/>
        <w:snapToGrid/>
        <w:spacing w:line="560" w:lineRule="exact"/>
        <w:ind w:firstLine="643" w:firstLineChars="200"/>
        <w:jc w:val="left"/>
        <w:textAlignment w:val="auto"/>
        <w:rPr>
          <w:rFonts w:hint="eastAsia"/>
          <w:b/>
          <w:bCs/>
          <w:color w:val="auto"/>
          <w:lang w:val="en-US" w:eastAsia="zh-CN"/>
        </w:rPr>
      </w:pPr>
      <w:r>
        <w:rPr>
          <w:rFonts w:hint="eastAsia" w:eastAsia="仿宋_GB2312" w:cs="Times New Roman"/>
          <w:b/>
          <w:bCs/>
          <w:color w:val="auto"/>
          <w:sz w:val="32"/>
          <w:szCs w:val="32"/>
          <w:lang w:val="en-US" w:eastAsia="zh-CN"/>
        </w:rPr>
        <w:t>6</w:t>
      </w:r>
      <w:r>
        <w:rPr>
          <w:rFonts w:hint="eastAsia" w:ascii="Times New Roman" w:hAnsi="Times New Roman" w:eastAsia="仿宋_GB2312" w:cs="Times New Roman"/>
          <w:b/>
          <w:bCs/>
          <w:color w:val="auto"/>
          <w:sz w:val="32"/>
          <w:szCs w:val="32"/>
          <w:lang w:val="en-US" w:eastAsia="zh-CN"/>
        </w:rPr>
        <w:t>.</w:t>
      </w:r>
      <w:r>
        <w:rPr>
          <w:rFonts w:hint="eastAsia" w:eastAsia="仿宋_GB2312" w:cs="Times New Roman"/>
          <w:b/>
          <w:bCs/>
          <w:color w:val="auto"/>
          <w:kern w:val="2"/>
          <w:sz w:val="32"/>
          <w:szCs w:val="32"/>
          <w:lang w:val="en-US" w:eastAsia="zh-CN" w:bidi="ar-SA"/>
        </w:rPr>
        <w:t>投</w:t>
      </w:r>
      <w:r>
        <w:rPr>
          <w:rFonts w:hint="eastAsia" w:ascii="Times New Roman" w:hAnsi="Times New Roman" w:eastAsia="仿宋_GB2312" w:cs="Times New Roman"/>
          <w:b/>
          <w:bCs/>
          <w:color w:val="auto"/>
          <w:kern w:val="2"/>
          <w:sz w:val="32"/>
          <w:szCs w:val="32"/>
          <w:lang w:val="en-US" w:eastAsia="zh-CN" w:bidi="ar-SA"/>
        </w:rPr>
        <w:t>标方</w:t>
      </w:r>
      <w:r>
        <w:rPr>
          <w:rFonts w:hint="eastAsia" w:eastAsia="仿宋_GB2312" w:cs="Times New Roman"/>
          <w:b/>
          <w:bCs/>
          <w:color w:val="auto"/>
          <w:kern w:val="2"/>
          <w:sz w:val="32"/>
          <w:szCs w:val="32"/>
          <w:lang w:val="en-US" w:eastAsia="zh-CN" w:bidi="ar-SA"/>
        </w:rPr>
        <w:t>在正式投标前，需安排人员对医院两院区（除秀山院区一期）现有故障进行</w:t>
      </w:r>
      <w:r>
        <w:rPr>
          <w:rFonts w:hint="eastAsia" w:ascii="Times New Roman" w:hAnsi="Times New Roman" w:eastAsia="仿宋_GB2312" w:cs="Times New Roman"/>
          <w:b/>
          <w:bCs/>
          <w:color w:val="auto"/>
          <w:kern w:val="2"/>
          <w:sz w:val="32"/>
          <w:szCs w:val="32"/>
          <w:lang w:val="en-US" w:eastAsia="zh-CN" w:bidi="ar-SA"/>
        </w:rPr>
        <w:t>全面排查</w:t>
      </w:r>
      <w:r>
        <w:rPr>
          <w:rFonts w:hint="eastAsia" w:eastAsia="仿宋_GB2312" w:cs="Times New Roman"/>
          <w:b/>
          <w:bCs/>
          <w:color w:val="auto"/>
          <w:kern w:val="2"/>
          <w:sz w:val="32"/>
          <w:szCs w:val="32"/>
          <w:lang w:val="en-US" w:eastAsia="zh-CN" w:bidi="ar-SA"/>
        </w:rPr>
        <w:t>，并将现有故障修复所需费用包含在报价内</w:t>
      </w:r>
      <w:r>
        <w:rPr>
          <w:rFonts w:hint="eastAsia" w:ascii="Times New Roman" w:hAnsi="Times New Roman" w:eastAsia="仿宋_GB2312" w:cs="Times New Roman"/>
          <w:b/>
          <w:bCs/>
          <w:color w:val="auto"/>
          <w:kern w:val="2"/>
          <w:sz w:val="32"/>
          <w:szCs w:val="32"/>
          <w:lang w:val="en-US" w:eastAsia="zh-CN" w:bidi="ar-SA"/>
        </w:rPr>
        <w:t>，</w:t>
      </w:r>
      <w:r>
        <w:rPr>
          <w:rFonts w:hint="eastAsia" w:eastAsia="仿宋_GB2312" w:cs="Times New Roman"/>
          <w:b/>
          <w:bCs/>
          <w:color w:val="auto"/>
          <w:kern w:val="2"/>
          <w:sz w:val="32"/>
          <w:szCs w:val="32"/>
          <w:lang w:val="en-US" w:eastAsia="zh-CN" w:bidi="ar-SA"/>
        </w:rPr>
        <w:t>中标后进行修复</w:t>
      </w:r>
      <w:r>
        <w:rPr>
          <w:rFonts w:hint="eastAsia" w:ascii="Times New Roman" w:hAnsi="Times New Roman" w:eastAsia="仿宋_GB2312" w:cs="Times New Roman"/>
          <w:b/>
          <w:bCs/>
          <w:color w:val="auto"/>
          <w:kern w:val="2"/>
          <w:sz w:val="32"/>
          <w:szCs w:val="32"/>
          <w:lang w:val="en-US" w:eastAsia="zh-CN" w:bidi="ar-SA"/>
        </w:rPr>
        <w:t>。</w:t>
      </w:r>
    </w:p>
    <w:p w14:paraId="65B6AA43">
      <w:pPr>
        <w:keepNext w:val="0"/>
        <w:keepLines w:val="0"/>
        <w:pageBreakBefore w:val="0"/>
        <w:widowControl w:val="0"/>
        <w:numPr>
          <w:ilvl w:val="0"/>
          <w:numId w:val="0"/>
        </w:numPr>
        <w:kinsoku/>
        <w:wordWrap w:val="0"/>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lang w:val="en-US" w:eastAsia="zh-CN"/>
        </w:rPr>
      </w:pPr>
      <w:r>
        <w:rPr>
          <w:rFonts w:hint="eastAsia" w:eastAsia="仿宋_GB2312" w:cs="Times New Roman"/>
          <w:color w:val="auto"/>
          <w:sz w:val="32"/>
          <w:szCs w:val="32"/>
          <w:lang w:val="en-US" w:eastAsia="zh-CN"/>
        </w:rPr>
        <w:t>7</w:t>
      </w:r>
      <w:r>
        <w:rPr>
          <w:rFonts w:hint="eastAsia" w:ascii="Times New Roman" w:hAnsi="Times New Roman" w:eastAsia="仿宋_GB2312" w:cs="Times New Roman"/>
          <w:color w:val="auto"/>
          <w:sz w:val="32"/>
          <w:szCs w:val="32"/>
          <w:lang w:val="en-US" w:eastAsia="zh-CN"/>
        </w:rPr>
        <w:t>.中标单位需安排一名专人在医院驻点，对一院两区进行服务保障。项目驻</w:t>
      </w:r>
      <w:r>
        <w:rPr>
          <w:rFonts w:hint="eastAsia" w:eastAsia="仿宋_GB2312" w:cs="Times New Roman"/>
          <w:color w:val="auto"/>
          <w:sz w:val="32"/>
          <w:szCs w:val="32"/>
          <w:lang w:val="en-US" w:eastAsia="zh-CN"/>
        </w:rPr>
        <w:t>点</w:t>
      </w:r>
      <w:r>
        <w:rPr>
          <w:rFonts w:hint="eastAsia" w:ascii="Times New Roman" w:hAnsi="Times New Roman" w:eastAsia="仿宋_GB2312" w:cs="Times New Roman"/>
          <w:color w:val="auto"/>
          <w:sz w:val="32"/>
          <w:szCs w:val="32"/>
          <w:lang w:val="en-US" w:eastAsia="zh-CN"/>
        </w:rPr>
        <w:t>人员</w:t>
      </w:r>
      <w:r>
        <w:rPr>
          <w:rFonts w:hint="eastAsia" w:eastAsia="仿宋_GB2312" w:cs="Times New Roman"/>
          <w:color w:val="auto"/>
          <w:sz w:val="32"/>
          <w:szCs w:val="32"/>
          <w:lang w:val="en-US" w:eastAsia="zh-CN"/>
        </w:rPr>
        <w:t>工作时间为国家法定工作日8:</w:t>
      </w:r>
      <w:r>
        <w:rPr>
          <w:rFonts w:hint="eastAsia" w:ascii="Times New Roman" w:hAnsi="Times New Roman" w:eastAsia="仿宋_GB2312" w:cs="Times New Roman"/>
          <w:color w:val="auto"/>
          <w:sz w:val="32"/>
          <w:szCs w:val="32"/>
          <w:lang w:val="en-US" w:eastAsia="zh-CN"/>
        </w:rPr>
        <w:t>00</w:t>
      </w:r>
      <w:r>
        <w:rPr>
          <w:rFonts w:hint="eastAsia" w:eastAsia="仿宋_GB2312" w:cs="Times New Roman"/>
          <w:color w:val="auto"/>
          <w:sz w:val="32"/>
          <w:szCs w:val="32"/>
          <w:lang w:val="en-US" w:eastAsia="zh-CN"/>
        </w:rPr>
        <w:t>-</w:t>
      </w:r>
      <w:r>
        <w:rPr>
          <w:rFonts w:hint="eastAsia" w:ascii="Times New Roman" w:hAnsi="Times New Roman" w:eastAsia="仿宋_GB2312" w:cs="Times New Roman"/>
          <w:color w:val="auto"/>
          <w:sz w:val="32"/>
          <w:szCs w:val="32"/>
          <w:lang w:val="en-US" w:eastAsia="zh-CN"/>
        </w:rPr>
        <w:t>17</w:t>
      </w:r>
      <w:r>
        <w:rPr>
          <w:rFonts w:hint="eastAsia" w:eastAsia="仿宋_GB2312" w:cs="Times New Roman"/>
          <w:color w:val="auto"/>
          <w:sz w:val="32"/>
          <w:szCs w:val="32"/>
          <w:lang w:val="en-US" w:eastAsia="zh-CN"/>
        </w:rPr>
        <w:t>:</w:t>
      </w:r>
      <w:r>
        <w:rPr>
          <w:rFonts w:hint="eastAsia" w:ascii="Times New Roman" w:hAnsi="Times New Roman" w:eastAsia="仿宋_GB2312" w:cs="Times New Roman"/>
          <w:color w:val="auto"/>
          <w:sz w:val="32"/>
          <w:szCs w:val="32"/>
          <w:lang w:val="en-US" w:eastAsia="zh-CN"/>
        </w:rPr>
        <w:t>30</w:t>
      </w:r>
      <w:r>
        <w:rPr>
          <w:rFonts w:hint="eastAsia" w:eastAsia="仿宋_GB2312" w:cs="Times New Roman"/>
          <w:color w:val="auto"/>
          <w:sz w:val="32"/>
          <w:szCs w:val="32"/>
          <w:lang w:val="en-US" w:eastAsia="zh-CN"/>
        </w:rPr>
        <w:t>，其他时间如院方需要驻点人员到场，需在30分钟内相应到场。驻点人员需持有中级消防设施操作证（维保方向）。</w:t>
      </w:r>
    </w:p>
    <w:p w14:paraId="79D4D377">
      <w:pPr>
        <w:pStyle w:val="2"/>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lang w:val="en-US" w:eastAsia="zh-CN"/>
        </w:rPr>
        <w:t>备注：</w:t>
      </w:r>
    </w:p>
    <w:p w14:paraId="34440E77">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eastAsia="仿宋_GB2312" w:cs="Times New Roman"/>
          <w:b/>
          <w:bCs w:val="0"/>
          <w:i w:val="0"/>
          <w:iCs w:val="0"/>
          <w:color w:val="auto"/>
          <w:kern w:val="2"/>
          <w:sz w:val="32"/>
          <w:szCs w:val="32"/>
          <w:lang w:val="en-US" w:eastAsia="zh-CN" w:bidi="ar-SA"/>
        </w:rPr>
      </w:pPr>
      <w:r>
        <w:rPr>
          <w:rFonts w:hint="eastAsia" w:ascii="Times New Roman" w:hAnsi="Times New Roman" w:eastAsia="仿宋_GB2312" w:cs="Times New Roman"/>
          <w:b w:val="0"/>
          <w:bCs/>
          <w:i w:val="0"/>
          <w:iCs w:val="0"/>
          <w:color w:val="auto"/>
          <w:kern w:val="2"/>
          <w:sz w:val="32"/>
          <w:szCs w:val="32"/>
          <w:lang w:val="en-US" w:eastAsia="zh-CN" w:bidi="ar-SA"/>
        </w:rPr>
        <w:t>1.</w:t>
      </w:r>
      <w:r>
        <w:rPr>
          <w:rFonts w:hint="eastAsia" w:ascii="Times New Roman" w:hAnsi="Times New Roman" w:eastAsia="仿宋_GB2312" w:cs="Times New Roman"/>
          <w:b/>
          <w:bCs w:val="0"/>
          <w:i w:val="0"/>
          <w:iCs w:val="0"/>
          <w:color w:val="auto"/>
          <w:kern w:val="2"/>
          <w:sz w:val="32"/>
          <w:szCs w:val="32"/>
          <w:lang w:val="en-US" w:eastAsia="zh-CN" w:bidi="ar-SA"/>
        </w:rPr>
        <w:t>消防设备维保内容包括：</w:t>
      </w:r>
    </w:p>
    <w:p w14:paraId="49488647">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eastAsia="仿宋_GB2312" w:cs="Times New Roman"/>
          <w:b w:val="0"/>
          <w:bCs/>
          <w:color w:val="auto"/>
          <w:kern w:val="2"/>
          <w:sz w:val="32"/>
          <w:szCs w:val="32"/>
          <w:lang w:val="en-US" w:eastAsia="zh-CN" w:bidi="ar-SA"/>
        </w:rPr>
      </w:pPr>
      <w:r>
        <w:rPr>
          <w:rFonts w:hint="eastAsia" w:ascii="Times New Roman" w:hAnsi="Times New Roman" w:eastAsia="仿宋_GB2312" w:cs="Times New Roman"/>
          <w:b w:val="0"/>
          <w:bCs/>
          <w:color w:val="auto"/>
          <w:kern w:val="2"/>
          <w:sz w:val="32"/>
          <w:szCs w:val="32"/>
          <w:lang w:val="en-US" w:eastAsia="zh-CN" w:bidi="ar-SA"/>
        </w:rPr>
        <w:t>a、火灾自动报警系统设备（烟感、温感探测器、消火栓报警按钮、手动报警按钮、楼层显示器、消防广播、控制模块、中继器、消防端子箱、控制主机、火灾报警控制器、通讯控制柜、警铃、事故广播、备用电源等涉及消防系统的所有设施设备）。</w:t>
      </w:r>
    </w:p>
    <w:p w14:paraId="47696DA3">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eastAsia="仿宋_GB2312" w:cs="Times New Roman"/>
          <w:b w:val="0"/>
          <w:bCs/>
          <w:color w:val="auto"/>
          <w:kern w:val="2"/>
          <w:sz w:val="32"/>
          <w:szCs w:val="32"/>
          <w:lang w:val="en-US" w:eastAsia="zh-CN" w:bidi="ar-SA"/>
        </w:rPr>
      </w:pPr>
      <w:r>
        <w:rPr>
          <w:rFonts w:hint="eastAsia" w:ascii="Times New Roman" w:hAnsi="Times New Roman" w:eastAsia="仿宋_GB2312" w:cs="Times New Roman"/>
          <w:b w:val="0"/>
          <w:bCs/>
          <w:color w:val="auto"/>
          <w:kern w:val="2"/>
          <w:sz w:val="32"/>
          <w:szCs w:val="32"/>
          <w:lang w:val="en-US" w:eastAsia="zh-CN" w:bidi="ar-SA"/>
        </w:rPr>
        <w:t>b、水灭火系统设备（消防泵、喷淋泵、增压泵、喷淋头、室内外灭火栓、各种阀门、水泵接合器、消防水池、浮球阀、屋顶水箱、水灭火系统控制柜、水流指示器、压力开关、水泵、管网、水力警铃等设施设备）。</w:t>
      </w:r>
    </w:p>
    <w:p w14:paraId="70AECC81">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eastAsia="仿宋_GB2312" w:cs="Times New Roman"/>
          <w:b w:val="0"/>
          <w:bCs/>
          <w:color w:val="auto"/>
          <w:kern w:val="2"/>
          <w:sz w:val="32"/>
          <w:szCs w:val="32"/>
          <w:lang w:val="en-US" w:eastAsia="zh-CN" w:bidi="ar-SA"/>
        </w:rPr>
      </w:pPr>
      <w:r>
        <w:rPr>
          <w:rFonts w:hint="eastAsia" w:ascii="Times New Roman" w:hAnsi="Times New Roman" w:eastAsia="仿宋_GB2312" w:cs="Times New Roman"/>
          <w:b w:val="0"/>
          <w:bCs/>
          <w:color w:val="auto"/>
          <w:kern w:val="2"/>
          <w:sz w:val="32"/>
          <w:szCs w:val="32"/>
          <w:lang w:val="en-US" w:eastAsia="zh-CN" w:bidi="ar-SA"/>
        </w:rPr>
        <w:t>c、防排烟系统设备（正压风机、新风机、排烟风机、正压送风阀、排风阀、电控箱等设施设备）。</w:t>
      </w:r>
    </w:p>
    <w:p w14:paraId="4E3AC6B1">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eastAsia="仿宋_GB2312" w:cs="Times New Roman"/>
          <w:b w:val="0"/>
          <w:bCs/>
          <w:color w:val="auto"/>
          <w:kern w:val="2"/>
          <w:sz w:val="32"/>
          <w:szCs w:val="32"/>
          <w:lang w:val="en-US" w:eastAsia="zh-CN" w:bidi="ar-SA"/>
        </w:rPr>
      </w:pPr>
      <w:r>
        <w:rPr>
          <w:rFonts w:hint="eastAsia" w:ascii="Times New Roman" w:hAnsi="Times New Roman" w:eastAsia="仿宋_GB2312" w:cs="Times New Roman"/>
          <w:b w:val="0"/>
          <w:bCs/>
          <w:color w:val="auto"/>
          <w:kern w:val="2"/>
          <w:sz w:val="32"/>
          <w:szCs w:val="32"/>
          <w:lang w:val="en-US" w:eastAsia="zh-CN" w:bidi="ar-SA"/>
        </w:rPr>
        <w:t>d、安全疏散系统设备（应急照明灯、安全出口标志灯等）。</w:t>
      </w:r>
    </w:p>
    <w:p w14:paraId="578A26F0">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eastAsia="仿宋_GB2312" w:cs="Times New Roman"/>
          <w:b w:val="0"/>
          <w:bCs/>
          <w:color w:val="auto"/>
          <w:kern w:val="2"/>
          <w:sz w:val="32"/>
          <w:szCs w:val="32"/>
          <w:lang w:val="en-US" w:eastAsia="zh-CN" w:bidi="ar-SA"/>
        </w:rPr>
      </w:pPr>
      <w:r>
        <w:rPr>
          <w:rFonts w:hint="eastAsia" w:ascii="Times New Roman" w:hAnsi="Times New Roman" w:eastAsia="仿宋_GB2312" w:cs="Times New Roman"/>
          <w:b w:val="0"/>
          <w:bCs/>
          <w:color w:val="auto"/>
          <w:kern w:val="2"/>
          <w:sz w:val="32"/>
          <w:szCs w:val="32"/>
          <w:lang w:val="en-US" w:eastAsia="zh-CN" w:bidi="ar-SA"/>
        </w:rPr>
        <w:t>e、消防监控室、防火卷帘门、防火门及其它一切消防设施（包含气体灭火系统和建筑物内的其它消防设备）。</w:t>
      </w:r>
    </w:p>
    <w:p w14:paraId="7E5A3B5A">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eastAsia="仿宋_GB2312" w:cs="Times New Roman"/>
          <w:b w:val="0"/>
          <w:bCs/>
          <w:color w:val="auto"/>
          <w:kern w:val="2"/>
          <w:sz w:val="32"/>
          <w:szCs w:val="32"/>
          <w:lang w:val="en-US" w:eastAsia="zh-CN" w:bidi="ar-SA"/>
        </w:rPr>
      </w:pPr>
      <w:r>
        <w:rPr>
          <w:rFonts w:hint="eastAsia" w:ascii="Times New Roman" w:hAnsi="Times New Roman" w:eastAsia="仿宋_GB2312" w:cs="Times New Roman"/>
          <w:b w:val="0"/>
          <w:bCs/>
          <w:color w:val="auto"/>
          <w:kern w:val="2"/>
          <w:sz w:val="32"/>
          <w:szCs w:val="32"/>
          <w:lang w:val="en-US" w:eastAsia="zh-CN" w:bidi="ar-SA"/>
        </w:rPr>
        <w:t>f、气体灭火系统设备（气体灭火控制器、贮气钢瓶、气体输送管网、喷头、阀门、紧急启动停止按钮、声光报警器、光电感烟探测器、感温探测器等）</w:t>
      </w:r>
    </w:p>
    <w:p w14:paraId="35AE900F">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eastAsia="仿宋_GB2312" w:cs="Times New Roman"/>
          <w:b w:val="0"/>
          <w:bCs/>
          <w:color w:val="auto"/>
          <w:kern w:val="2"/>
          <w:sz w:val="32"/>
          <w:szCs w:val="32"/>
          <w:lang w:val="en-US" w:eastAsia="zh-CN" w:bidi="ar-SA"/>
        </w:rPr>
      </w:pPr>
      <w:r>
        <w:rPr>
          <w:rFonts w:hint="eastAsia" w:ascii="Times New Roman" w:hAnsi="Times New Roman" w:eastAsia="仿宋_GB2312" w:cs="Times New Roman"/>
          <w:b w:val="0"/>
          <w:bCs/>
          <w:color w:val="auto"/>
          <w:kern w:val="2"/>
          <w:sz w:val="32"/>
          <w:szCs w:val="32"/>
          <w:lang w:val="en-US" w:eastAsia="zh-CN" w:bidi="ar-SA"/>
        </w:rPr>
        <w:t>g、消防设施台账建立、消防安全隐患排查、整改方案、整改实施。</w:t>
      </w:r>
    </w:p>
    <w:p w14:paraId="40BD0E03">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eastAsia="仿宋_GB2312" w:cs="Times New Roman"/>
          <w:b w:val="0"/>
          <w:bCs/>
          <w:color w:val="auto"/>
          <w:kern w:val="2"/>
          <w:sz w:val="32"/>
          <w:szCs w:val="32"/>
          <w:lang w:val="en-US" w:eastAsia="zh-CN" w:bidi="ar-SA"/>
        </w:rPr>
      </w:pPr>
      <w:r>
        <w:rPr>
          <w:rFonts w:hint="eastAsia" w:ascii="Times New Roman" w:hAnsi="Times New Roman" w:eastAsia="仿宋_GB2312" w:cs="Times New Roman"/>
          <w:b w:val="0"/>
          <w:bCs/>
          <w:color w:val="auto"/>
          <w:kern w:val="2"/>
          <w:sz w:val="32"/>
          <w:szCs w:val="32"/>
          <w:lang w:val="en-US" w:eastAsia="zh-CN" w:bidi="ar-SA"/>
        </w:rPr>
        <w:t>h、对接相关安全管理部门，及时了解相关消防安全政策、法规、要求，对照落实执行，使本维保项目始终处于高效安全的运行状态。</w:t>
      </w:r>
    </w:p>
    <w:p w14:paraId="1DA4C203">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eastAsia="仿宋_GB2312" w:cs="Times New Roman"/>
          <w:b/>
          <w:bCs w:val="0"/>
          <w:i w:val="0"/>
          <w:iCs w:val="0"/>
          <w:color w:val="auto"/>
          <w:kern w:val="2"/>
          <w:sz w:val="32"/>
          <w:szCs w:val="32"/>
          <w:lang w:val="en-US" w:eastAsia="zh-CN" w:bidi="ar-SA"/>
        </w:rPr>
      </w:pPr>
      <w:r>
        <w:rPr>
          <w:rFonts w:hint="eastAsia" w:ascii="Times New Roman" w:hAnsi="Times New Roman" w:eastAsia="仿宋_GB2312" w:cs="Times New Roman"/>
          <w:b w:val="0"/>
          <w:bCs/>
          <w:i w:val="0"/>
          <w:iCs w:val="0"/>
          <w:color w:val="auto"/>
          <w:kern w:val="2"/>
          <w:sz w:val="32"/>
          <w:szCs w:val="32"/>
          <w:lang w:val="en-US" w:eastAsia="zh-CN" w:bidi="ar-SA"/>
        </w:rPr>
        <w:t>2.</w:t>
      </w:r>
      <w:r>
        <w:rPr>
          <w:rFonts w:hint="eastAsia" w:ascii="Times New Roman" w:hAnsi="Times New Roman" w:eastAsia="仿宋_GB2312" w:cs="Times New Roman"/>
          <w:b/>
          <w:bCs w:val="0"/>
          <w:i w:val="0"/>
          <w:iCs w:val="0"/>
          <w:color w:val="auto"/>
          <w:kern w:val="2"/>
          <w:sz w:val="32"/>
          <w:szCs w:val="32"/>
          <w:lang w:val="en-US" w:eastAsia="zh-CN" w:bidi="ar-SA"/>
        </w:rPr>
        <w:t>维修维保依据及标准：</w:t>
      </w:r>
    </w:p>
    <w:p w14:paraId="1E6E21AD">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仿宋_GB2312" w:cs="Times New Roman"/>
          <w:b w:val="0"/>
          <w:bCs/>
          <w:color w:val="auto"/>
          <w:kern w:val="2"/>
          <w:sz w:val="32"/>
          <w:szCs w:val="32"/>
          <w:lang w:val="en-US" w:eastAsia="zh-CN" w:bidi="ar-SA"/>
        </w:rPr>
      </w:pPr>
      <w:r>
        <w:rPr>
          <w:rFonts w:hint="eastAsia" w:ascii="Times New Roman" w:hAnsi="Times New Roman" w:eastAsia="仿宋_GB2312" w:cs="Times New Roman"/>
          <w:b w:val="0"/>
          <w:bCs/>
          <w:color w:val="auto"/>
          <w:kern w:val="2"/>
          <w:sz w:val="32"/>
          <w:szCs w:val="32"/>
          <w:lang w:val="en-US" w:eastAsia="zh-CN" w:bidi="ar-SA"/>
        </w:rPr>
        <w:t>a、《建筑设计防火规范》GB50016-2014</w:t>
      </w:r>
    </w:p>
    <w:p w14:paraId="369CD37E">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仿宋_GB2312" w:cs="Times New Roman"/>
          <w:b w:val="0"/>
          <w:bCs/>
          <w:color w:val="auto"/>
          <w:kern w:val="2"/>
          <w:sz w:val="32"/>
          <w:szCs w:val="32"/>
          <w:lang w:val="en-US" w:eastAsia="zh-CN" w:bidi="ar-SA"/>
        </w:rPr>
      </w:pPr>
      <w:r>
        <w:rPr>
          <w:rFonts w:hint="eastAsia" w:ascii="Times New Roman" w:hAnsi="Times New Roman" w:eastAsia="仿宋_GB2312" w:cs="Times New Roman"/>
          <w:b w:val="0"/>
          <w:bCs/>
          <w:color w:val="auto"/>
          <w:kern w:val="2"/>
          <w:sz w:val="32"/>
          <w:szCs w:val="32"/>
          <w:lang w:val="en-US" w:eastAsia="zh-CN" w:bidi="ar-SA"/>
        </w:rPr>
        <w:t>b、《火灾自动报警系统施工及验收规范》GB50166-2019</w:t>
      </w:r>
    </w:p>
    <w:p w14:paraId="45EF98DC">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仿宋_GB2312" w:cs="Times New Roman"/>
          <w:b w:val="0"/>
          <w:bCs/>
          <w:color w:val="auto"/>
          <w:kern w:val="2"/>
          <w:sz w:val="32"/>
          <w:szCs w:val="32"/>
          <w:lang w:val="en-US" w:eastAsia="zh-CN" w:bidi="ar-SA"/>
        </w:rPr>
      </w:pPr>
      <w:r>
        <w:rPr>
          <w:rFonts w:hint="eastAsia" w:ascii="Times New Roman" w:hAnsi="Times New Roman" w:eastAsia="仿宋_GB2312" w:cs="Times New Roman"/>
          <w:b w:val="0"/>
          <w:bCs/>
          <w:color w:val="auto"/>
          <w:kern w:val="2"/>
          <w:sz w:val="32"/>
          <w:szCs w:val="32"/>
          <w:lang w:val="en-US" w:eastAsia="zh-CN" w:bidi="ar-SA"/>
        </w:rPr>
        <w:t>c、《自动喷水灭火系统施工及验收规范》GB50261-2017</w:t>
      </w:r>
    </w:p>
    <w:p w14:paraId="4E05C3E3">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仿宋_GB2312" w:cs="Times New Roman"/>
          <w:b w:val="0"/>
          <w:bCs/>
          <w:color w:val="auto"/>
          <w:kern w:val="2"/>
          <w:sz w:val="32"/>
          <w:szCs w:val="32"/>
          <w:lang w:val="en-US" w:eastAsia="zh-CN" w:bidi="ar-SA"/>
        </w:rPr>
      </w:pPr>
      <w:r>
        <w:rPr>
          <w:rFonts w:hint="eastAsia" w:ascii="Times New Roman" w:hAnsi="Times New Roman" w:eastAsia="仿宋_GB2312" w:cs="Times New Roman"/>
          <w:b w:val="0"/>
          <w:bCs/>
          <w:color w:val="auto"/>
          <w:kern w:val="2"/>
          <w:sz w:val="32"/>
          <w:szCs w:val="32"/>
          <w:lang w:val="en-US" w:eastAsia="zh-CN" w:bidi="ar-SA"/>
        </w:rPr>
        <w:t>d、《给排水管道工程施工及验收规范》GB50268-2008</w:t>
      </w:r>
    </w:p>
    <w:p w14:paraId="0BEDAB9F">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eastAsia="仿宋_GB2312" w:cs="Times New Roman"/>
          <w:b w:val="0"/>
          <w:bCs/>
          <w:color w:val="auto"/>
          <w:kern w:val="2"/>
          <w:sz w:val="32"/>
          <w:szCs w:val="32"/>
          <w:lang w:val="en-US" w:eastAsia="zh-CN" w:bidi="ar-SA"/>
        </w:rPr>
      </w:pPr>
      <w:r>
        <w:rPr>
          <w:rFonts w:hint="eastAsia" w:ascii="Times New Roman" w:hAnsi="Times New Roman" w:eastAsia="仿宋_GB2312" w:cs="Times New Roman"/>
          <w:b w:val="0"/>
          <w:bCs/>
          <w:color w:val="auto"/>
          <w:kern w:val="2"/>
          <w:sz w:val="32"/>
          <w:szCs w:val="32"/>
          <w:lang w:val="en-US" w:eastAsia="zh-CN" w:bidi="ar-SA"/>
        </w:rPr>
        <w:t>e、《电气装置安装工程施工及验收规范》GBJ232-82</w:t>
      </w:r>
    </w:p>
    <w:p w14:paraId="795F6450">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eastAsia="仿宋_GB2312" w:cs="Times New Roman"/>
          <w:color w:val="auto"/>
          <w:kern w:val="0"/>
          <w:sz w:val="32"/>
          <w:szCs w:val="32"/>
          <w:lang w:val="en-US" w:eastAsia="zh-CN" w:bidi="ar"/>
        </w:rPr>
      </w:pPr>
      <w:r>
        <w:rPr>
          <w:rFonts w:hint="eastAsia" w:ascii="Times New Roman" w:hAnsi="Times New Roman" w:eastAsia="仿宋_GB2312" w:cs="Times New Roman"/>
          <w:b w:val="0"/>
          <w:bCs/>
          <w:color w:val="auto"/>
          <w:kern w:val="2"/>
          <w:sz w:val="32"/>
          <w:szCs w:val="32"/>
          <w:lang w:val="en-US" w:eastAsia="zh-CN" w:bidi="ar-SA"/>
        </w:rPr>
        <w:t>如国家标准有变动，遵照最新标准执行。</w:t>
      </w:r>
    </w:p>
    <w:p w14:paraId="1FBD133B">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eastAsia="仿宋_GB2312" w:cs="Times New Roman"/>
          <w:b w:val="0"/>
          <w:bCs/>
          <w:color w:val="auto"/>
          <w:kern w:val="2"/>
          <w:sz w:val="32"/>
          <w:szCs w:val="32"/>
          <w:lang w:val="en-US" w:eastAsia="zh-CN" w:bidi="ar-SA"/>
        </w:rPr>
      </w:pPr>
      <w:r>
        <w:rPr>
          <w:rFonts w:hint="eastAsia" w:ascii="Times New Roman" w:hAnsi="Times New Roman" w:eastAsia="仿宋_GB2312" w:cs="Times New Roman"/>
          <w:b w:val="0"/>
          <w:bCs/>
          <w:color w:val="auto"/>
          <w:kern w:val="2"/>
          <w:sz w:val="32"/>
          <w:szCs w:val="32"/>
          <w:lang w:val="en-US" w:eastAsia="zh-CN" w:bidi="ar-SA"/>
        </w:rPr>
        <w:t>3.投标报价为</w:t>
      </w:r>
      <w:r>
        <w:rPr>
          <w:rFonts w:hint="eastAsia" w:ascii="Times New Roman" w:hAnsi="Times New Roman" w:eastAsia="仿宋_GB2312" w:cs="Times New Roman"/>
          <w:b/>
          <w:bCs w:val="0"/>
          <w:color w:val="auto"/>
          <w:kern w:val="2"/>
          <w:sz w:val="32"/>
          <w:szCs w:val="32"/>
          <w:lang w:val="en-US" w:eastAsia="zh-CN" w:bidi="ar-SA"/>
        </w:rPr>
        <w:t>全含价</w:t>
      </w:r>
      <w:r>
        <w:rPr>
          <w:rFonts w:hint="eastAsia" w:ascii="Times New Roman" w:hAnsi="Times New Roman" w:eastAsia="仿宋_GB2312" w:cs="Times New Roman"/>
          <w:b w:val="0"/>
          <w:bCs/>
          <w:color w:val="auto"/>
          <w:kern w:val="2"/>
          <w:sz w:val="32"/>
          <w:szCs w:val="32"/>
          <w:lang w:val="en-US" w:eastAsia="zh-CN" w:bidi="ar-SA"/>
        </w:rPr>
        <w:t>，所有方案中列出的或隐含的为完成合同所需的一切责任和义务等费用都应包括在内，除合同另有规定外，应视为供应商为维保提供相关服务以及在质保期内保修等供应商必须支付的费用，包含供应商的所有费用（包括维保配件的包装、运输、临时设施，维保人员的劳务费、符合国家规定的各项费用、综合考虑劳务市场人工工资涨价风险，津、补贴及夜班、加班费、节假费用等、服装、工具，保险、税金、人员交通、相关售后服务等维护期内所发生的一切费用），包括所有的税费和利润及可能的风险，不再有报价以外的任何附加费用。未列和没有填写的项目费用，应视为已包括在相关项目的价格中。最终维保质量考核情况作为支付款项的依据。</w:t>
      </w:r>
    </w:p>
    <w:p w14:paraId="29F425EC">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eastAsia="仿宋_GB2312" w:cs="Times New Roman"/>
          <w:b w:val="0"/>
          <w:bCs/>
          <w:color w:val="auto"/>
          <w:kern w:val="2"/>
          <w:sz w:val="32"/>
          <w:szCs w:val="32"/>
          <w:lang w:val="en-US" w:eastAsia="zh-CN" w:bidi="ar-SA"/>
        </w:rPr>
      </w:pPr>
      <w:r>
        <w:rPr>
          <w:rFonts w:hint="eastAsia" w:ascii="Times New Roman" w:hAnsi="Times New Roman" w:eastAsia="仿宋_GB2312" w:cs="Times New Roman"/>
          <w:b w:val="0"/>
          <w:bCs/>
          <w:color w:val="auto"/>
          <w:kern w:val="2"/>
          <w:sz w:val="32"/>
          <w:szCs w:val="32"/>
          <w:lang w:val="en-US" w:eastAsia="zh-CN" w:bidi="ar-SA"/>
        </w:rPr>
        <w:t>4.因消防工作需要，医院对消防设施进行改造、增设，中标方不得因此提出增加服务费。</w:t>
      </w:r>
    </w:p>
    <w:p w14:paraId="5C20941E">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仿宋" w:cs="Times New Roman"/>
          <w:b/>
          <w:color w:val="auto"/>
          <w:sz w:val="32"/>
          <w:szCs w:val="32"/>
        </w:rPr>
      </w:pPr>
      <w:r>
        <w:rPr>
          <w:rFonts w:hint="eastAsia" w:ascii="Times New Roman" w:hAnsi="Times New Roman" w:eastAsia="仿宋" w:cs="Times New Roman"/>
          <w:b/>
          <w:color w:val="auto"/>
          <w:sz w:val="32"/>
          <w:szCs w:val="32"/>
        </w:rPr>
        <w:t>委托维保服务</w:t>
      </w:r>
      <w:r>
        <w:rPr>
          <w:rFonts w:hint="eastAsia" w:ascii="Times New Roman" w:hAnsi="Times New Roman" w:eastAsia="仿宋" w:cs="Times New Roman"/>
          <w:b/>
          <w:color w:val="auto"/>
          <w:sz w:val="32"/>
          <w:szCs w:val="32"/>
          <w:lang w:val="en-US" w:eastAsia="zh-CN"/>
        </w:rPr>
        <w:t>要求</w:t>
      </w:r>
    </w:p>
    <w:p w14:paraId="4E385790">
      <w:pPr>
        <w:keepNext w:val="0"/>
        <w:keepLines w:val="0"/>
        <w:widowControl/>
        <w:suppressLineNumbers w:val="0"/>
        <w:ind w:firstLine="643" w:firstLineChars="200"/>
        <w:jc w:val="left"/>
        <w:rPr>
          <w:rFonts w:hint="eastAsia" w:ascii="Times New Roman" w:hAnsi="Times New Roman" w:eastAsia="仿宋_GB2312" w:cs="Times New Roman"/>
          <w:b/>
          <w:bCs w:val="0"/>
          <w:color w:val="auto"/>
          <w:kern w:val="2"/>
          <w:sz w:val="32"/>
          <w:szCs w:val="20"/>
          <w:lang w:val="en-US" w:eastAsia="zh-CN" w:bidi="ar-SA"/>
        </w:rPr>
      </w:pPr>
      <w:r>
        <w:rPr>
          <w:rFonts w:hint="eastAsia" w:ascii="Times New Roman" w:hAnsi="Times New Roman" w:eastAsia="仿宋_GB2312" w:cs="Times New Roman"/>
          <w:b/>
          <w:bCs w:val="0"/>
          <w:color w:val="auto"/>
          <w:kern w:val="2"/>
          <w:sz w:val="32"/>
          <w:szCs w:val="20"/>
          <w:lang w:val="en-US" w:eastAsia="zh-CN" w:bidi="ar-SA"/>
        </w:rPr>
        <w:t>（一）总体要求：</w:t>
      </w:r>
    </w:p>
    <w:p w14:paraId="375A11D0">
      <w:pPr>
        <w:keepNext w:val="0"/>
        <w:keepLines w:val="0"/>
        <w:widowControl/>
        <w:suppressLineNumbers w:val="0"/>
        <w:ind w:firstLine="640" w:firstLineChars="200"/>
        <w:jc w:val="left"/>
        <w:rPr>
          <w:rFonts w:hint="eastAsia" w:ascii="Times New Roman" w:hAnsi="Times New Roman" w:eastAsia="仿宋_GB2312" w:cs="Times New Roman"/>
          <w:b w:val="0"/>
          <w:bCs/>
          <w:color w:val="auto"/>
          <w:kern w:val="2"/>
          <w:sz w:val="32"/>
          <w:szCs w:val="20"/>
          <w:lang w:val="en-US" w:eastAsia="zh-CN" w:bidi="ar-SA"/>
        </w:rPr>
      </w:pPr>
      <w:r>
        <w:rPr>
          <w:rFonts w:hint="eastAsia" w:ascii="Times New Roman" w:hAnsi="Times New Roman" w:eastAsia="仿宋_GB2312" w:cs="Times New Roman"/>
          <w:b w:val="0"/>
          <w:bCs/>
          <w:color w:val="auto"/>
          <w:kern w:val="2"/>
          <w:sz w:val="32"/>
          <w:szCs w:val="20"/>
          <w:lang w:val="en-US" w:eastAsia="zh-CN" w:bidi="ar-SA"/>
        </w:rPr>
        <w:t>依照《中华人民共和国消防法》和各级消防部门颁发的行业规定规范开展维保工作，确保我院全部消防设备、设施良好运行，并达到以下要求：</w:t>
      </w:r>
    </w:p>
    <w:p w14:paraId="29120117">
      <w:pPr>
        <w:keepNext w:val="0"/>
        <w:keepLines w:val="0"/>
        <w:widowControl/>
        <w:suppressLineNumbers w:val="0"/>
        <w:ind w:firstLine="640" w:firstLineChars="200"/>
        <w:jc w:val="left"/>
        <w:rPr>
          <w:rFonts w:hint="eastAsia" w:ascii="Times New Roman" w:hAnsi="Times New Roman" w:eastAsia="仿宋_GB2312" w:cs="Times New Roman"/>
          <w:b w:val="0"/>
          <w:bCs/>
          <w:color w:val="auto"/>
          <w:kern w:val="2"/>
          <w:sz w:val="32"/>
          <w:szCs w:val="20"/>
          <w:lang w:val="en-US" w:eastAsia="zh-CN" w:bidi="ar-SA"/>
        </w:rPr>
      </w:pPr>
      <w:r>
        <w:rPr>
          <w:rFonts w:hint="eastAsia" w:ascii="Times New Roman" w:hAnsi="Times New Roman" w:eastAsia="仿宋_GB2312" w:cs="Times New Roman"/>
          <w:b w:val="0"/>
          <w:bCs/>
          <w:color w:val="auto"/>
          <w:kern w:val="2"/>
          <w:sz w:val="32"/>
          <w:szCs w:val="20"/>
          <w:lang w:val="en-US" w:eastAsia="zh-CN" w:bidi="ar-SA"/>
        </w:rPr>
        <w:t>1.消防设备、设施处于完好状态且运转正常，功能符合消防部门的检查要求。</w:t>
      </w:r>
    </w:p>
    <w:p w14:paraId="552C222C">
      <w:pPr>
        <w:keepNext w:val="0"/>
        <w:keepLines w:val="0"/>
        <w:widowControl/>
        <w:suppressLineNumbers w:val="0"/>
        <w:ind w:firstLine="640" w:firstLineChars="200"/>
        <w:jc w:val="left"/>
        <w:rPr>
          <w:rFonts w:hint="eastAsia" w:ascii="Times New Roman" w:hAnsi="Times New Roman" w:eastAsia="仿宋_GB2312" w:cs="Times New Roman"/>
          <w:b w:val="0"/>
          <w:bCs/>
          <w:color w:val="auto"/>
          <w:kern w:val="2"/>
          <w:sz w:val="32"/>
          <w:szCs w:val="20"/>
          <w:lang w:val="en-US" w:eastAsia="zh-CN" w:bidi="ar-SA"/>
        </w:rPr>
      </w:pPr>
      <w:r>
        <w:rPr>
          <w:rFonts w:hint="eastAsia" w:ascii="Times New Roman" w:hAnsi="Times New Roman" w:eastAsia="仿宋_GB2312" w:cs="Times New Roman"/>
          <w:b w:val="0"/>
          <w:bCs/>
          <w:color w:val="auto"/>
          <w:kern w:val="2"/>
          <w:sz w:val="32"/>
          <w:szCs w:val="20"/>
          <w:lang w:val="en-US" w:eastAsia="zh-CN" w:bidi="ar-SA"/>
        </w:rPr>
        <w:t>2.建立消防设施维保管理制度，消防工作档案资料齐全（维保记录、设备台账、年度检测报告、平面图等）。</w:t>
      </w:r>
    </w:p>
    <w:p w14:paraId="70BC3BB6">
      <w:pPr>
        <w:keepNext w:val="0"/>
        <w:keepLines w:val="0"/>
        <w:widowControl/>
        <w:suppressLineNumbers w:val="0"/>
        <w:ind w:firstLine="640" w:firstLineChars="200"/>
        <w:jc w:val="left"/>
        <w:rPr>
          <w:rFonts w:hint="eastAsia" w:ascii="Times New Roman" w:hAnsi="Times New Roman" w:eastAsia="仿宋_GB2312" w:cs="Times New Roman"/>
          <w:b w:val="0"/>
          <w:bCs/>
          <w:color w:val="auto"/>
          <w:kern w:val="2"/>
          <w:sz w:val="32"/>
          <w:szCs w:val="20"/>
          <w:lang w:val="en-US" w:eastAsia="zh-CN" w:bidi="ar-SA"/>
        </w:rPr>
      </w:pPr>
      <w:r>
        <w:rPr>
          <w:rFonts w:hint="eastAsia" w:ascii="Times New Roman" w:hAnsi="Times New Roman" w:eastAsia="仿宋_GB2312" w:cs="Times New Roman"/>
          <w:b w:val="0"/>
          <w:bCs/>
          <w:color w:val="auto"/>
          <w:kern w:val="2"/>
          <w:sz w:val="32"/>
          <w:szCs w:val="20"/>
          <w:lang w:val="en-US" w:eastAsia="zh-CN" w:bidi="ar-SA"/>
        </w:rPr>
        <w:t>3.维保人员要具有相关资质，持证上岗。</w:t>
      </w:r>
    </w:p>
    <w:p w14:paraId="7F270784">
      <w:pPr>
        <w:keepNext w:val="0"/>
        <w:keepLines w:val="0"/>
        <w:widowControl/>
        <w:suppressLineNumbers w:val="0"/>
        <w:ind w:firstLine="640" w:firstLineChars="200"/>
        <w:jc w:val="left"/>
        <w:rPr>
          <w:rFonts w:hint="eastAsia" w:ascii="Times New Roman" w:hAnsi="Times New Roman" w:eastAsia="仿宋_GB2312" w:cs="Times New Roman"/>
          <w:b w:val="0"/>
          <w:bCs/>
          <w:color w:val="auto"/>
          <w:kern w:val="2"/>
          <w:sz w:val="32"/>
          <w:szCs w:val="20"/>
          <w:lang w:val="en-US" w:eastAsia="zh-CN" w:bidi="ar-SA"/>
        </w:rPr>
      </w:pPr>
      <w:r>
        <w:rPr>
          <w:rFonts w:hint="eastAsia" w:ascii="Times New Roman" w:hAnsi="Times New Roman" w:eastAsia="仿宋_GB2312" w:cs="Times New Roman"/>
          <w:b w:val="0"/>
          <w:bCs/>
          <w:color w:val="auto"/>
          <w:kern w:val="2"/>
          <w:sz w:val="32"/>
          <w:szCs w:val="20"/>
          <w:lang w:val="en-US" w:eastAsia="zh-CN" w:bidi="ar-SA"/>
        </w:rPr>
        <w:t>4.每遇国家节假日，在前三天内对所有消防设备设施进行例行安全检查。</w:t>
      </w:r>
    </w:p>
    <w:p w14:paraId="10974366">
      <w:pPr>
        <w:keepNext w:val="0"/>
        <w:keepLines w:val="0"/>
        <w:widowControl/>
        <w:suppressLineNumbers w:val="0"/>
        <w:ind w:firstLine="640" w:firstLineChars="200"/>
        <w:jc w:val="left"/>
        <w:rPr>
          <w:rFonts w:hint="eastAsia" w:ascii="Times New Roman" w:hAnsi="Times New Roman" w:eastAsia="仿宋_GB2312" w:cs="Times New Roman"/>
          <w:b w:val="0"/>
          <w:bCs/>
          <w:color w:val="auto"/>
          <w:kern w:val="2"/>
          <w:sz w:val="32"/>
          <w:szCs w:val="20"/>
          <w:lang w:val="en-US" w:eastAsia="zh-CN" w:bidi="ar-SA"/>
        </w:rPr>
      </w:pPr>
      <w:r>
        <w:rPr>
          <w:rFonts w:hint="eastAsia" w:ascii="Times New Roman" w:hAnsi="Times New Roman" w:eastAsia="仿宋_GB2312" w:cs="Times New Roman"/>
          <w:b w:val="0"/>
          <w:bCs/>
          <w:color w:val="auto"/>
          <w:kern w:val="2"/>
          <w:sz w:val="32"/>
          <w:szCs w:val="20"/>
          <w:lang w:val="en-US" w:eastAsia="zh-CN" w:bidi="ar-SA"/>
        </w:rPr>
        <w:t>5.中标方须参加医院及上级部门的消防检查，积极整改检查中发现的维保方面的问题。</w:t>
      </w:r>
    </w:p>
    <w:p w14:paraId="6CFDED0B">
      <w:pPr>
        <w:keepNext w:val="0"/>
        <w:keepLines w:val="0"/>
        <w:widowControl/>
        <w:suppressLineNumbers w:val="0"/>
        <w:ind w:firstLine="640" w:firstLineChars="200"/>
        <w:jc w:val="left"/>
        <w:rPr>
          <w:rFonts w:hint="eastAsia" w:ascii="Times New Roman" w:hAnsi="Times New Roman" w:eastAsia="仿宋_GB2312" w:cs="Times New Roman"/>
          <w:b w:val="0"/>
          <w:bCs/>
          <w:color w:val="auto"/>
          <w:kern w:val="2"/>
          <w:sz w:val="32"/>
          <w:szCs w:val="20"/>
          <w:lang w:val="en-US" w:eastAsia="zh-CN" w:bidi="ar-SA"/>
        </w:rPr>
      </w:pPr>
      <w:r>
        <w:rPr>
          <w:rFonts w:hint="eastAsia" w:ascii="Times New Roman" w:hAnsi="Times New Roman" w:eastAsia="仿宋_GB2312" w:cs="Times New Roman"/>
          <w:b w:val="0"/>
          <w:bCs/>
          <w:color w:val="auto"/>
          <w:kern w:val="2"/>
          <w:sz w:val="32"/>
          <w:szCs w:val="20"/>
          <w:lang w:val="en-US" w:eastAsia="zh-CN" w:bidi="ar-SA"/>
        </w:rPr>
        <w:t>6.维保期内如遇消防部门检查，须安排技术人员到现场配合检查。</w:t>
      </w:r>
    </w:p>
    <w:p w14:paraId="1033A99F">
      <w:pPr>
        <w:keepNext w:val="0"/>
        <w:keepLines w:val="0"/>
        <w:widowControl/>
        <w:suppressLineNumbers w:val="0"/>
        <w:ind w:firstLine="640" w:firstLineChars="200"/>
        <w:jc w:val="left"/>
        <w:rPr>
          <w:rFonts w:hint="eastAsia" w:ascii="Times New Roman" w:hAnsi="Times New Roman" w:eastAsia="仿宋_GB2312" w:cs="Times New Roman"/>
          <w:b w:val="0"/>
          <w:bCs/>
          <w:color w:val="auto"/>
          <w:kern w:val="2"/>
          <w:sz w:val="32"/>
          <w:szCs w:val="20"/>
          <w:lang w:val="en-US" w:eastAsia="zh-CN" w:bidi="ar-SA"/>
        </w:rPr>
      </w:pPr>
      <w:r>
        <w:rPr>
          <w:rFonts w:hint="eastAsia" w:ascii="Times New Roman" w:hAnsi="Times New Roman" w:eastAsia="仿宋_GB2312" w:cs="Times New Roman"/>
          <w:b w:val="0"/>
          <w:bCs/>
          <w:color w:val="auto"/>
          <w:kern w:val="2"/>
          <w:sz w:val="32"/>
          <w:szCs w:val="20"/>
          <w:lang w:val="en-US" w:eastAsia="zh-CN" w:bidi="ar-SA"/>
        </w:rPr>
        <w:t>7.无消防安全事故发生。</w:t>
      </w:r>
    </w:p>
    <w:p w14:paraId="612AE5E1">
      <w:pPr>
        <w:keepNext w:val="0"/>
        <w:keepLines w:val="0"/>
        <w:widowControl/>
        <w:suppressLineNumbers w:val="0"/>
        <w:ind w:firstLine="643" w:firstLineChars="200"/>
        <w:jc w:val="left"/>
        <w:rPr>
          <w:rFonts w:hint="eastAsia" w:ascii="Times New Roman" w:hAnsi="Times New Roman" w:eastAsia="仿宋_GB2312" w:cs="Times New Roman"/>
          <w:b/>
          <w:bCs w:val="0"/>
          <w:color w:val="auto"/>
          <w:kern w:val="2"/>
          <w:sz w:val="32"/>
          <w:szCs w:val="20"/>
          <w:lang w:val="en-US" w:eastAsia="zh-CN" w:bidi="ar-SA"/>
        </w:rPr>
      </w:pPr>
      <w:r>
        <w:rPr>
          <w:rFonts w:hint="eastAsia" w:ascii="Times New Roman" w:hAnsi="Times New Roman" w:eastAsia="仿宋_GB2312" w:cs="Times New Roman"/>
          <w:b/>
          <w:bCs w:val="0"/>
          <w:color w:val="auto"/>
          <w:kern w:val="2"/>
          <w:sz w:val="32"/>
          <w:szCs w:val="20"/>
          <w:lang w:val="en-US" w:eastAsia="zh-CN" w:bidi="ar-SA"/>
        </w:rPr>
        <w:t>（二）设备、设施管理的详细要求：</w:t>
      </w:r>
    </w:p>
    <w:p w14:paraId="257430F8">
      <w:pPr>
        <w:pStyle w:val="2"/>
        <w:ind w:firstLine="643" w:firstLineChars="200"/>
        <w:rPr>
          <w:rFonts w:hint="eastAsia" w:ascii="Times New Roman" w:hAnsi="Times New Roman" w:eastAsia="仿宋_GB2312" w:cs="Times New Roman"/>
          <w:b/>
          <w:bCs w:val="0"/>
          <w:color w:val="auto"/>
          <w:kern w:val="2"/>
          <w:sz w:val="32"/>
          <w:szCs w:val="20"/>
          <w:lang w:val="en-US" w:eastAsia="zh-CN" w:bidi="ar-SA"/>
        </w:rPr>
      </w:pPr>
      <w:r>
        <w:rPr>
          <w:rFonts w:hint="eastAsia" w:ascii="Times New Roman" w:hAnsi="Times New Roman" w:eastAsia="仿宋_GB2312" w:cs="Times New Roman"/>
          <w:b/>
          <w:bCs w:val="0"/>
          <w:color w:val="auto"/>
          <w:kern w:val="2"/>
          <w:sz w:val="32"/>
          <w:szCs w:val="20"/>
          <w:lang w:val="en-US" w:eastAsia="zh-CN" w:bidi="ar-SA"/>
        </w:rPr>
        <w:t>1、火灾自动报警系统：</w:t>
      </w:r>
    </w:p>
    <w:p w14:paraId="13B0720D">
      <w:pPr>
        <w:keepNext w:val="0"/>
        <w:keepLines w:val="0"/>
        <w:widowControl/>
        <w:suppressLineNumbers w:val="0"/>
        <w:ind w:firstLine="640" w:firstLineChars="200"/>
        <w:jc w:val="left"/>
        <w:rPr>
          <w:rFonts w:hint="eastAsia" w:ascii="Times New Roman" w:hAnsi="Times New Roman" w:eastAsia="仿宋_GB2312" w:cs="Times New Roman"/>
          <w:b w:val="0"/>
          <w:bCs/>
          <w:color w:val="auto"/>
          <w:kern w:val="2"/>
          <w:sz w:val="32"/>
          <w:szCs w:val="20"/>
          <w:lang w:val="en-US" w:eastAsia="zh-CN" w:bidi="ar-SA"/>
        </w:rPr>
      </w:pPr>
      <w:r>
        <w:rPr>
          <w:rFonts w:hint="eastAsia" w:ascii="Times New Roman" w:hAnsi="Times New Roman" w:eastAsia="仿宋_GB2312" w:cs="Times New Roman"/>
          <w:b w:val="0"/>
          <w:bCs/>
          <w:color w:val="auto"/>
          <w:kern w:val="2"/>
          <w:sz w:val="32"/>
          <w:szCs w:val="20"/>
          <w:lang w:val="en-US" w:eastAsia="zh-CN" w:bidi="ar-SA"/>
        </w:rPr>
        <w:t>a、每月对火灾探测器、手动报警按钮、火灾报警控制器、CRT图形显示器、火灾显示盘的报警显示功能，消防联动控制设备的联动控制功能和显示及联动设备进行模拟火警、故障及联运试验。发现故障及时维修、排除，确保该系统处于正常工作状态。其中火灾报警探测器和手动报警按钮的报警功能的检查数量不少于总数10%；</w:t>
      </w:r>
    </w:p>
    <w:p w14:paraId="0E6BEB93">
      <w:pPr>
        <w:keepNext w:val="0"/>
        <w:keepLines w:val="0"/>
        <w:widowControl/>
        <w:suppressLineNumbers w:val="0"/>
        <w:ind w:firstLine="640" w:firstLineChars="200"/>
        <w:jc w:val="left"/>
        <w:rPr>
          <w:rFonts w:hint="eastAsia" w:ascii="Times New Roman" w:hAnsi="Times New Roman" w:eastAsia="仿宋_GB2312" w:cs="Times New Roman"/>
          <w:b w:val="0"/>
          <w:bCs/>
          <w:color w:val="auto"/>
          <w:kern w:val="2"/>
          <w:sz w:val="32"/>
          <w:szCs w:val="20"/>
          <w:lang w:val="en-US" w:eastAsia="zh-CN" w:bidi="ar-SA"/>
        </w:rPr>
      </w:pPr>
      <w:r>
        <w:rPr>
          <w:rFonts w:hint="eastAsia" w:ascii="Times New Roman" w:hAnsi="Times New Roman" w:eastAsia="仿宋_GB2312" w:cs="Times New Roman"/>
          <w:b w:val="0"/>
          <w:bCs/>
          <w:color w:val="auto"/>
          <w:kern w:val="2"/>
          <w:sz w:val="32"/>
          <w:szCs w:val="20"/>
          <w:lang w:val="en-US" w:eastAsia="zh-CN" w:bidi="ar-SA"/>
        </w:rPr>
        <w:t>b、每月对火灾自动报警系统控制线路及联动线路的故障进行检修，发现故障及时维修、排除，确保该系统处于正常工作状态；</w:t>
      </w:r>
    </w:p>
    <w:p w14:paraId="0D5DD1F0">
      <w:pPr>
        <w:keepNext w:val="0"/>
        <w:keepLines w:val="0"/>
        <w:widowControl/>
        <w:suppressLineNumbers w:val="0"/>
        <w:ind w:firstLine="640" w:firstLineChars="200"/>
        <w:jc w:val="left"/>
        <w:rPr>
          <w:rFonts w:hint="eastAsia" w:ascii="Times New Roman" w:hAnsi="Times New Roman" w:eastAsia="仿宋_GB2312" w:cs="Times New Roman"/>
          <w:b w:val="0"/>
          <w:bCs/>
          <w:color w:val="auto"/>
          <w:kern w:val="2"/>
          <w:sz w:val="32"/>
          <w:szCs w:val="20"/>
          <w:lang w:val="en-US" w:eastAsia="zh-CN" w:bidi="ar-SA"/>
        </w:rPr>
      </w:pPr>
      <w:r>
        <w:rPr>
          <w:rFonts w:hint="eastAsia" w:ascii="Times New Roman" w:hAnsi="Times New Roman" w:eastAsia="仿宋_GB2312" w:cs="Times New Roman"/>
          <w:b w:val="0"/>
          <w:bCs/>
          <w:color w:val="auto"/>
          <w:kern w:val="2"/>
          <w:sz w:val="32"/>
          <w:szCs w:val="20"/>
          <w:lang w:val="en-US" w:eastAsia="zh-CN" w:bidi="ar-SA"/>
        </w:rPr>
        <w:t>c、每月采用检测仪器分期分批试验探测器的动作及确认灯显示，发现故障及时维修、排除，确保该系统处于正常工作状态;</w:t>
      </w:r>
    </w:p>
    <w:p w14:paraId="6E23E4C2">
      <w:pPr>
        <w:pStyle w:val="2"/>
        <w:ind w:firstLine="643" w:firstLineChars="200"/>
        <w:rPr>
          <w:rFonts w:hint="eastAsia" w:ascii="Times New Roman" w:hAnsi="Times New Roman" w:eastAsia="仿宋_GB2312" w:cs="Times New Roman"/>
          <w:b/>
          <w:bCs w:val="0"/>
          <w:color w:val="auto"/>
          <w:kern w:val="2"/>
          <w:sz w:val="32"/>
          <w:szCs w:val="20"/>
          <w:lang w:val="en-US" w:eastAsia="zh-CN" w:bidi="ar-SA"/>
        </w:rPr>
      </w:pPr>
      <w:r>
        <w:rPr>
          <w:rFonts w:hint="eastAsia" w:ascii="Times New Roman" w:hAnsi="Times New Roman" w:eastAsia="仿宋_GB2312" w:cs="Times New Roman"/>
          <w:b/>
          <w:bCs w:val="0"/>
          <w:color w:val="auto"/>
          <w:kern w:val="2"/>
          <w:sz w:val="32"/>
          <w:szCs w:val="20"/>
          <w:lang w:val="en-US" w:eastAsia="zh-CN" w:bidi="ar-SA"/>
        </w:rPr>
        <w:t>2、自动喷淋系统：</w:t>
      </w:r>
    </w:p>
    <w:p w14:paraId="7999AE69">
      <w:pPr>
        <w:pStyle w:val="2"/>
        <w:ind w:firstLine="640" w:firstLineChars="200"/>
        <w:rPr>
          <w:rFonts w:hint="eastAsia" w:ascii="Times New Roman" w:hAnsi="Times New Roman" w:eastAsia="仿宋_GB2312" w:cs="Times New Roman"/>
          <w:b w:val="0"/>
          <w:bCs/>
          <w:color w:val="auto"/>
          <w:kern w:val="2"/>
          <w:sz w:val="32"/>
          <w:szCs w:val="20"/>
          <w:lang w:val="en-US" w:eastAsia="zh-CN" w:bidi="ar-SA"/>
        </w:rPr>
      </w:pPr>
      <w:r>
        <w:rPr>
          <w:rFonts w:hint="eastAsia" w:ascii="Times New Roman" w:hAnsi="Times New Roman" w:eastAsia="仿宋_GB2312" w:cs="Times New Roman"/>
          <w:b w:val="0"/>
          <w:bCs/>
          <w:color w:val="auto"/>
          <w:kern w:val="2"/>
          <w:sz w:val="32"/>
          <w:szCs w:val="20"/>
          <w:lang w:val="en-US" w:eastAsia="zh-CN" w:bidi="ar-SA"/>
        </w:rPr>
        <w:t>a、每月对水源控制阀、报警阀组进行放水、末端试水装置放水等检查，保证系统水压及各种阀门处于正常工作状态，其中末端试水装置放水检查数量不少于总数量10%；</w:t>
      </w:r>
    </w:p>
    <w:p w14:paraId="50947B34">
      <w:pPr>
        <w:pStyle w:val="2"/>
        <w:ind w:firstLine="640" w:firstLineChars="200"/>
        <w:rPr>
          <w:rFonts w:hint="eastAsia" w:ascii="Times New Roman" w:hAnsi="Times New Roman" w:eastAsia="仿宋_GB2312" w:cs="Times New Roman"/>
          <w:b w:val="0"/>
          <w:bCs/>
          <w:color w:val="auto"/>
          <w:kern w:val="2"/>
          <w:sz w:val="32"/>
          <w:szCs w:val="20"/>
          <w:lang w:val="en-US" w:eastAsia="zh-CN" w:bidi="ar-SA"/>
        </w:rPr>
      </w:pPr>
      <w:r>
        <w:rPr>
          <w:rFonts w:hint="eastAsia" w:ascii="Times New Roman" w:hAnsi="Times New Roman" w:eastAsia="仿宋_GB2312" w:cs="Times New Roman"/>
          <w:b w:val="0"/>
          <w:bCs/>
          <w:color w:val="auto"/>
          <w:kern w:val="2"/>
          <w:sz w:val="32"/>
          <w:szCs w:val="20"/>
          <w:lang w:val="en-US" w:eastAsia="zh-CN" w:bidi="ar-SA"/>
        </w:rPr>
        <w:t>b、每月对喷淋水泵进行启动运转试验一次，运作失常时及时维修；</w:t>
      </w:r>
    </w:p>
    <w:p w14:paraId="7EBC79E9">
      <w:pPr>
        <w:pStyle w:val="2"/>
        <w:ind w:firstLine="640" w:firstLineChars="200"/>
        <w:rPr>
          <w:rFonts w:hint="eastAsia" w:ascii="Times New Roman" w:hAnsi="Times New Roman" w:eastAsia="仿宋_GB2312" w:cs="Times New Roman"/>
          <w:b w:val="0"/>
          <w:bCs/>
          <w:color w:val="auto"/>
          <w:kern w:val="2"/>
          <w:sz w:val="32"/>
          <w:szCs w:val="20"/>
          <w:lang w:val="en-US" w:eastAsia="zh-CN" w:bidi="ar-SA"/>
        </w:rPr>
      </w:pPr>
      <w:r>
        <w:rPr>
          <w:rFonts w:hint="eastAsia" w:ascii="Times New Roman" w:hAnsi="Times New Roman" w:eastAsia="仿宋_GB2312" w:cs="Times New Roman"/>
          <w:b w:val="0"/>
          <w:bCs/>
          <w:color w:val="auto"/>
          <w:kern w:val="2"/>
          <w:sz w:val="32"/>
          <w:szCs w:val="20"/>
          <w:lang w:val="en-US" w:eastAsia="zh-CN" w:bidi="ar-SA"/>
        </w:rPr>
        <w:t>c、每月对喷头进行外观检查，发现有不正常的喷头及时更换，当喷头上有异物时及时清除。</w:t>
      </w:r>
    </w:p>
    <w:p w14:paraId="6F577ABC">
      <w:pPr>
        <w:pStyle w:val="2"/>
        <w:ind w:firstLine="643" w:firstLineChars="200"/>
        <w:rPr>
          <w:rFonts w:hint="eastAsia" w:ascii="Times New Roman" w:hAnsi="Times New Roman" w:eastAsia="仿宋_GB2312" w:cs="Times New Roman"/>
          <w:b/>
          <w:bCs w:val="0"/>
          <w:color w:val="auto"/>
          <w:kern w:val="2"/>
          <w:sz w:val="32"/>
          <w:szCs w:val="20"/>
          <w:lang w:val="en-US" w:eastAsia="zh-CN" w:bidi="ar-SA"/>
        </w:rPr>
      </w:pPr>
      <w:r>
        <w:rPr>
          <w:rFonts w:hint="eastAsia" w:ascii="Times New Roman" w:hAnsi="Times New Roman" w:eastAsia="仿宋_GB2312" w:cs="Times New Roman"/>
          <w:b/>
          <w:bCs w:val="0"/>
          <w:color w:val="auto"/>
          <w:kern w:val="2"/>
          <w:sz w:val="32"/>
          <w:szCs w:val="20"/>
          <w:lang w:val="en-US" w:eastAsia="zh-CN" w:bidi="ar-SA"/>
        </w:rPr>
        <w:t>3、消火栓系统：</w:t>
      </w:r>
    </w:p>
    <w:p w14:paraId="1321F5A1">
      <w:pPr>
        <w:pStyle w:val="2"/>
        <w:ind w:firstLine="640" w:firstLineChars="200"/>
        <w:rPr>
          <w:rFonts w:hint="eastAsia" w:ascii="Times New Roman" w:hAnsi="Times New Roman" w:eastAsia="仿宋_GB2312" w:cs="Times New Roman"/>
          <w:b w:val="0"/>
          <w:bCs/>
          <w:color w:val="auto"/>
          <w:kern w:val="2"/>
          <w:sz w:val="32"/>
          <w:szCs w:val="20"/>
          <w:lang w:val="en-US" w:eastAsia="zh-CN" w:bidi="ar-SA"/>
        </w:rPr>
      </w:pPr>
      <w:r>
        <w:rPr>
          <w:rFonts w:hint="eastAsia" w:ascii="Times New Roman" w:hAnsi="Times New Roman" w:eastAsia="仿宋_GB2312" w:cs="Times New Roman"/>
          <w:b w:val="0"/>
          <w:bCs/>
          <w:color w:val="auto"/>
          <w:kern w:val="2"/>
          <w:sz w:val="32"/>
          <w:szCs w:val="20"/>
          <w:lang w:val="en-US" w:eastAsia="zh-CN" w:bidi="ar-SA"/>
        </w:rPr>
        <w:t>a、每月对消防泵进行启动运转试验，并对消防泵进行消火栓按钮联动启泵试验，室内外消火栓出水及压力，消火栓启泵按钮，系统功能，发现故障及时维修、排除，确保该系统处于正常工作状态。检查数量不少于总数10%；</w:t>
      </w:r>
    </w:p>
    <w:p w14:paraId="53903D9F">
      <w:pPr>
        <w:pStyle w:val="2"/>
        <w:ind w:firstLine="640" w:firstLineChars="200"/>
        <w:rPr>
          <w:rFonts w:hint="eastAsia" w:ascii="Times New Roman" w:hAnsi="Times New Roman" w:eastAsia="仿宋_GB2312" w:cs="Times New Roman"/>
          <w:b w:val="0"/>
          <w:bCs/>
          <w:color w:val="auto"/>
          <w:kern w:val="2"/>
          <w:sz w:val="32"/>
          <w:szCs w:val="20"/>
          <w:lang w:val="en-US" w:eastAsia="zh-CN" w:bidi="ar-SA"/>
        </w:rPr>
      </w:pPr>
      <w:r>
        <w:rPr>
          <w:rFonts w:hint="eastAsia" w:ascii="Times New Roman" w:hAnsi="Times New Roman" w:eastAsia="仿宋_GB2312" w:cs="Times New Roman"/>
          <w:b w:val="0"/>
          <w:bCs/>
          <w:color w:val="auto"/>
          <w:kern w:val="2"/>
          <w:sz w:val="32"/>
          <w:szCs w:val="20"/>
          <w:lang w:val="en-US" w:eastAsia="zh-CN" w:bidi="ar-SA"/>
        </w:rPr>
        <w:t>b、每月对系统上所有的控制阀门进行检查，保证控制阀门处于正常工作状态；</w:t>
      </w:r>
    </w:p>
    <w:p w14:paraId="5F62CEAA">
      <w:pPr>
        <w:pStyle w:val="2"/>
        <w:ind w:firstLine="640" w:firstLineChars="200"/>
        <w:rPr>
          <w:rFonts w:hint="eastAsia" w:ascii="Times New Roman" w:hAnsi="Times New Roman" w:eastAsia="仿宋_GB2312" w:cs="Times New Roman"/>
          <w:b w:val="0"/>
          <w:bCs/>
          <w:color w:val="auto"/>
          <w:kern w:val="2"/>
          <w:sz w:val="32"/>
          <w:szCs w:val="20"/>
          <w:lang w:val="en-US" w:eastAsia="zh-CN" w:bidi="ar-SA"/>
        </w:rPr>
      </w:pPr>
      <w:r>
        <w:rPr>
          <w:rFonts w:hint="eastAsia" w:ascii="Times New Roman" w:hAnsi="Times New Roman" w:eastAsia="仿宋_GB2312" w:cs="Times New Roman"/>
          <w:b w:val="0"/>
          <w:bCs/>
          <w:color w:val="auto"/>
          <w:kern w:val="2"/>
          <w:sz w:val="32"/>
          <w:szCs w:val="20"/>
          <w:lang w:val="en-US" w:eastAsia="zh-CN" w:bidi="ar-SA"/>
        </w:rPr>
        <w:t>c、每月对消火栓进行检查，发现问题及时处理。</w:t>
      </w:r>
    </w:p>
    <w:p w14:paraId="004F7A88">
      <w:pPr>
        <w:pStyle w:val="2"/>
        <w:ind w:firstLine="643" w:firstLineChars="200"/>
        <w:rPr>
          <w:rFonts w:hint="eastAsia" w:ascii="Times New Roman" w:hAnsi="Times New Roman" w:eastAsia="仿宋_GB2312" w:cs="Times New Roman"/>
          <w:b/>
          <w:bCs w:val="0"/>
          <w:color w:val="auto"/>
          <w:kern w:val="2"/>
          <w:sz w:val="32"/>
          <w:szCs w:val="20"/>
          <w:lang w:val="en-US" w:eastAsia="zh-CN" w:bidi="ar-SA"/>
        </w:rPr>
      </w:pPr>
      <w:r>
        <w:rPr>
          <w:rFonts w:hint="eastAsia" w:ascii="Times New Roman" w:hAnsi="Times New Roman" w:eastAsia="仿宋_GB2312" w:cs="Times New Roman"/>
          <w:b/>
          <w:bCs w:val="0"/>
          <w:color w:val="auto"/>
          <w:kern w:val="2"/>
          <w:sz w:val="32"/>
          <w:szCs w:val="20"/>
          <w:lang w:val="en-US" w:eastAsia="zh-CN" w:bidi="ar-SA"/>
        </w:rPr>
        <w:t>4、防排烟系统：</w:t>
      </w:r>
    </w:p>
    <w:p w14:paraId="59BD9AFD">
      <w:pPr>
        <w:pStyle w:val="2"/>
        <w:ind w:firstLine="640" w:firstLineChars="200"/>
        <w:rPr>
          <w:rFonts w:hint="eastAsia" w:ascii="Times New Roman" w:hAnsi="Times New Roman" w:eastAsia="仿宋_GB2312" w:cs="Times New Roman"/>
          <w:b w:val="0"/>
          <w:bCs/>
          <w:color w:val="auto"/>
          <w:kern w:val="2"/>
          <w:sz w:val="32"/>
          <w:szCs w:val="20"/>
          <w:lang w:val="en-US" w:eastAsia="zh-CN" w:bidi="ar-SA"/>
        </w:rPr>
      </w:pPr>
      <w:r>
        <w:rPr>
          <w:rFonts w:hint="eastAsia" w:ascii="Times New Roman" w:hAnsi="Times New Roman" w:eastAsia="仿宋_GB2312" w:cs="Times New Roman"/>
          <w:b w:val="0"/>
          <w:bCs/>
          <w:color w:val="auto"/>
          <w:kern w:val="2"/>
          <w:sz w:val="32"/>
          <w:szCs w:val="20"/>
          <w:lang w:val="en-US" w:eastAsia="zh-CN" w:bidi="ar-SA"/>
        </w:rPr>
        <w:t>a、每月检查送风、排烟机房工作环境；</w:t>
      </w:r>
    </w:p>
    <w:p w14:paraId="79F97971">
      <w:pPr>
        <w:pStyle w:val="2"/>
        <w:ind w:firstLine="640" w:firstLineChars="200"/>
        <w:rPr>
          <w:rFonts w:hint="eastAsia" w:ascii="Times New Roman" w:hAnsi="Times New Roman" w:eastAsia="仿宋_GB2312" w:cs="Times New Roman"/>
          <w:b w:val="0"/>
          <w:bCs/>
          <w:color w:val="auto"/>
          <w:kern w:val="2"/>
          <w:sz w:val="32"/>
          <w:szCs w:val="20"/>
          <w:lang w:val="en-US" w:eastAsia="zh-CN" w:bidi="ar-SA"/>
        </w:rPr>
      </w:pPr>
      <w:r>
        <w:rPr>
          <w:rFonts w:hint="eastAsia" w:ascii="Times New Roman" w:hAnsi="Times New Roman" w:eastAsia="仿宋_GB2312" w:cs="Times New Roman"/>
          <w:b w:val="0"/>
          <w:bCs/>
          <w:color w:val="auto"/>
          <w:kern w:val="2"/>
          <w:sz w:val="32"/>
          <w:szCs w:val="20"/>
          <w:lang w:val="en-US" w:eastAsia="zh-CN" w:bidi="ar-SA"/>
        </w:rPr>
        <w:t>b、每月检查风机电源控制柜、送风阀、排烟阀、机械加压送风机以及系统功能，送风机控制柜；机械排烟风机以及系统功能，排烟风机控制柜；电动排烟窗启、闭功能等是否处于正常完好状态，发现故障及时维修、排除，确保该系统处于正常工作状态；</w:t>
      </w:r>
    </w:p>
    <w:p w14:paraId="5E99D359">
      <w:pPr>
        <w:pStyle w:val="2"/>
        <w:ind w:firstLine="640" w:firstLineChars="200"/>
        <w:rPr>
          <w:rFonts w:hint="eastAsia" w:ascii="Times New Roman" w:hAnsi="Times New Roman" w:eastAsia="仿宋_GB2312" w:cs="Times New Roman"/>
          <w:b w:val="0"/>
          <w:bCs/>
          <w:color w:val="auto"/>
          <w:kern w:val="2"/>
          <w:sz w:val="32"/>
          <w:szCs w:val="20"/>
          <w:lang w:val="en-US" w:eastAsia="zh-CN" w:bidi="ar-SA"/>
        </w:rPr>
      </w:pPr>
      <w:r>
        <w:rPr>
          <w:rFonts w:hint="eastAsia" w:ascii="Times New Roman" w:hAnsi="Times New Roman" w:eastAsia="仿宋_GB2312" w:cs="Times New Roman"/>
          <w:b w:val="0"/>
          <w:bCs/>
          <w:color w:val="auto"/>
          <w:kern w:val="2"/>
          <w:sz w:val="32"/>
          <w:szCs w:val="20"/>
          <w:lang w:val="en-US" w:eastAsia="zh-CN" w:bidi="ar-SA"/>
        </w:rPr>
        <w:t>d、每月现场和远程启动送风、排烟是否正常，电机有无异常，中控室能否收到反馈信息，发现故障及时维修、排除，确保该系统处于正常工作状态。</w:t>
      </w:r>
    </w:p>
    <w:p w14:paraId="4BA2E73D">
      <w:pPr>
        <w:pStyle w:val="2"/>
        <w:ind w:firstLine="643" w:firstLineChars="200"/>
        <w:rPr>
          <w:rFonts w:hint="eastAsia" w:ascii="Times New Roman" w:hAnsi="Times New Roman" w:eastAsia="仿宋_GB2312" w:cs="Times New Roman"/>
          <w:b/>
          <w:bCs w:val="0"/>
          <w:color w:val="auto"/>
          <w:kern w:val="2"/>
          <w:sz w:val="32"/>
          <w:szCs w:val="20"/>
          <w:lang w:val="en-US" w:eastAsia="zh-CN" w:bidi="ar-SA"/>
        </w:rPr>
      </w:pPr>
      <w:r>
        <w:rPr>
          <w:rFonts w:hint="eastAsia" w:ascii="Times New Roman" w:hAnsi="Times New Roman" w:eastAsia="仿宋_GB2312" w:cs="Times New Roman"/>
          <w:b/>
          <w:bCs w:val="0"/>
          <w:color w:val="auto"/>
          <w:kern w:val="2"/>
          <w:sz w:val="32"/>
          <w:szCs w:val="20"/>
          <w:lang w:val="en-US" w:eastAsia="zh-CN" w:bidi="ar-SA"/>
        </w:rPr>
        <w:t>5、气体灭火系统：</w:t>
      </w:r>
    </w:p>
    <w:p w14:paraId="2B72EA7A">
      <w:pPr>
        <w:pStyle w:val="2"/>
        <w:ind w:firstLine="640" w:firstLineChars="200"/>
        <w:rPr>
          <w:rFonts w:hint="eastAsia" w:ascii="Times New Roman" w:hAnsi="Times New Roman" w:eastAsia="仿宋_GB2312" w:cs="Times New Roman"/>
          <w:b w:val="0"/>
          <w:bCs/>
          <w:color w:val="auto"/>
          <w:kern w:val="2"/>
          <w:sz w:val="32"/>
          <w:szCs w:val="20"/>
          <w:lang w:val="en-US" w:eastAsia="zh-CN" w:bidi="ar-SA"/>
        </w:rPr>
      </w:pPr>
      <w:r>
        <w:rPr>
          <w:rFonts w:hint="eastAsia" w:ascii="Times New Roman" w:hAnsi="Times New Roman" w:eastAsia="仿宋_GB2312" w:cs="Times New Roman"/>
          <w:b w:val="0"/>
          <w:bCs/>
          <w:color w:val="auto"/>
          <w:kern w:val="2"/>
          <w:sz w:val="32"/>
          <w:szCs w:val="20"/>
          <w:lang w:val="en-US" w:eastAsia="zh-CN" w:bidi="ar-SA"/>
        </w:rPr>
        <w:t>每月对气体灭火系统装置的喷嘴外观、储存容器、选择阀、高压软管、集流管、阀驱动装置、管网与喷嘴等系统部件外观和控制设备是否处于运行状态进行一次检查与维护，发现故障及时维修、排除，确保该系统处于正常工作状态。</w:t>
      </w:r>
    </w:p>
    <w:p w14:paraId="538FEFF2">
      <w:pPr>
        <w:pStyle w:val="2"/>
        <w:ind w:firstLine="643" w:firstLineChars="200"/>
        <w:rPr>
          <w:rFonts w:hint="eastAsia" w:ascii="Times New Roman" w:hAnsi="Times New Roman" w:eastAsia="仿宋_GB2312" w:cs="Times New Roman"/>
          <w:b/>
          <w:bCs w:val="0"/>
          <w:color w:val="auto"/>
          <w:kern w:val="2"/>
          <w:sz w:val="32"/>
          <w:szCs w:val="20"/>
          <w:lang w:val="en-US" w:eastAsia="zh-CN" w:bidi="ar-SA"/>
        </w:rPr>
      </w:pPr>
      <w:r>
        <w:rPr>
          <w:rFonts w:hint="eastAsia" w:ascii="Times New Roman" w:hAnsi="Times New Roman" w:eastAsia="仿宋_GB2312" w:cs="Times New Roman"/>
          <w:b/>
          <w:bCs w:val="0"/>
          <w:color w:val="auto"/>
          <w:kern w:val="2"/>
          <w:sz w:val="32"/>
          <w:szCs w:val="20"/>
          <w:lang w:val="en-US" w:eastAsia="zh-CN" w:bidi="ar-SA"/>
        </w:rPr>
        <w:t>6、应急照明、疏散指示标志：</w:t>
      </w:r>
    </w:p>
    <w:p w14:paraId="2627B371">
      <w:pPr>
        <w:pStyle w:val="2"/>
        <w:ind w:firstLine="640" w:firstLineChars="200"/>
        <w:rPr>
          <w:rFonts w:hint="eastAsia" w:ascii="Times New Roman" w:hAnsi="Times New Roman" w:eastAsia="仿宋_GB2312" w:cs="Times New Roman"/>
          <w:b w:val="0"/>
          <w:bCs/>
          <w:color w:val="auto"/>
          <w:kern w:val="2"/>
          <w:sz w:val="32"/>
          <w:szCs w:val="20"/>
          <w:lang w:val="en-US" w:eastAsia="zh-CN" w:bidi="ar-SA"/>
        </w:rPr>
      </w:pPr>
      <w:r>
        <w:rPr>
          <w:rFonts w:hint="eastAsia" w:ascii="Times New Roman" w:hAnsi="Times New Roman" w:eastAsia="仿宋_GB2312" w:cs="Times New Roman"/>
          <w:b w:val="0"/>
          <w:bCs/>
          <w:color w:val="auto"/>
          <w:kern w:val="2"/>
          <w:sz w:val="32"/>
          <w:szCs w:val="20"/>
          <w:lang w:val="en-US" w:eastAsia="zh-CN" w:bidi="ar-SA"/>
        </w:rPr>
        <w:t>a、每月检查电源切换和充电功能，发现故障及时维修、排除，确保该系统处于正常工作状态。</w:t>
      </w:r>
    </w:p>
    <w:p w14:paraId="7170E553">
      <w:pPr>
        <w:pStyle w:val="2"/>
        <w:ind w:firstLine="640" w:firstLineChars="200"/>
        <w:rPr>
          <w:rFonts w:hint="eastAsia" w:ascii="Times New Roman" w:hAnsi="Times New Roman" w:eastAsia="仿宋_GB2312" w:cs="Times New Roman"/>
          <w:b w:val="0"/>
          <w:bCs/>
          <w:color w:val="auto"/>
          <w:kern w:val="2"/>
          <w:sz w:val="32"/>
          <w:szCs w:val="20"/>
          <w:lang w:val="en-US" w:eastAsia="zh-CN" w:bidi="ar-SA"/>
        </w:rPr>
      </w:pPr>
      <w:r>
        <w:rPr>
          <w:rFonts w:hint="eastAsia" w:ascii="Times New Roman" w:hAnsi="Times New Roman" w:eastAsia="仿宋_GB2312" w:cs="Times New Roman"/>
          <w:b w:val="0"/>
          <w:bCs/>
          <w:color w:val="auto"/>
          <w:kern w:val="2"/>
          <w:sz w:val="32"/>
          <w:szCs w:val="20"/>
          <w:lang w:val="en-US" w:eastAsia="zh-CN" w:bidi="ar-SA"/>
        </w:rPr>
        <w:t>b、每月检查标识正确性。</w:t>
      </w:r>
    </w:p>
    <w:p w14:paraId="69244478">
      <w:pPr>
        <w:pStyle w:val="2"/>
        <w:ind w:firstLine="643" w:firstLineChars="200"/>
        <w:rPr>
          <w:rFonts w:hint="eastAsia" w:ascii="Times New Roman" w:hAnsi="Times New Roman" w:eastAsia="仿宋_GB2312" w:cs="Times New Roman"/>
          <w:b/>
          <w:bCs w:val="0"/>
          <w:color w:val="auto"/>
          <w:kern w:val="2"/>
          <w:sz w:val="32"/>
          <w:szCs w:val="20"/>
          <w:lang w:val="en-US" w:eastAsia="zh-CN" w:bidi="ar-SA"/>
        </w:rPr>
      </w:pPr>
      <w:r>
        <w:rPr>
          <w:rFonts w:hint="eastAsia" w:ascii="Times New Roman" w:hAnsi="Times New Roman" w:eastAsia="仿宋_GB2312" w:cs="Times New Roman"/>
          <w:b/>
          <w:bCs w:val="0"/>
          <w:color w:val="auto"/>
          <w:kern w:val="2"/>
          <w:sz w:val="32"/>
          <w:szCs w:val="20"/>
          <w:lang w:val="en-US" w:eastAsia="zh-CN" w:bidi="ar-SA"/>
        </w:rPr>
        <w:t>7、防火卷帘（防火分隔设施）：</w:t>
      </w:r>
    </w:p>
    <w:p w14:paraId="4118B6EE">
      <w:pPr>
        <w:pStyle w:val="2"/>
        <w:ind w:firstLine="640" w:firstLineChars="200"/>
        <w:rPr>
          <w:rFonts w:hint="eastAsia" w:ascii="Times New Roman" w:hAnsi="Times New Roman" w:eastAsia="仿宋_GB2312" w:cs="Times New Roman"/>
          <w:b w:val="0"/>
          <w:bCs/>
          <w:color w:val="auto"/>
          <w:kern w:val="2"/>
          <w:sz w:val="32"/>
          <w:szCs w:val="20"/>
          <w:lang w:val="en-US" w:eastAsia="zh-CN" w:bidi="ar-SA"/>
        </w:rPr>
      </w:pPr>
      <w:r>
        <w:rPr>
          <w:rFonts w:hint="eastAsia" w:ascii="Times New Roman" w:hAnsi="Times New Roman" w:eastAsia="仿宋_GB2312" w:cs="Times New Roman"/>
          <w:b w:val="0"/>
          <w:bCs/>
          <w:color w:val="auto"/>
          <w:kern w:val="2"/>
          <w:sz w:val="32"/>
          <w:szCs w:val="20"/>
          <w:lang w:val="en-US" w:eastAsia="zh-CN" w:bidi="ar-SA"/>
        </w:rPr>
        <w:t>每月检查防火卷帘的外观有无损坏，轨道、扇面有无变形，现场和远程启动防火卷帘是否正常，电机马达有无异常，中控室能否收到反馈信息，防火门启闭功能，防火卷帘自动启动和现场手动功能，电动防火门联动功能，电动防火阀的启、闭功能。发现故障及时维修、排除，确保该系统处于正常工作状态；</w:t>
      </w:r>
    </w:p>
    <w:p w14:paraId="6FECA2A9">
      <w:pPr>
        <w:pStyle w:val="2"/>
        <w:ind w:firstLine="643" w:firstLineChars="200"/>
        <w:rPr>
          <w:rFonts w:hint="eastAsia" w:ascii="Times New Roman" w:hAnsi="Times New Roman" w:eastAsia="仿宋_GB2312" w:cs="Times New Roman"/>
          <w:b/>
          <w:bCs w:val="0"/>
          <w:color w:val="auto"/>
          <w:kern w:val="2"/>
          <w:sz w:val="32"/>
          <w:szCs w:val="20"/>
          <w:lang w:val="en-US" w:eastAsia="zh-CN" w:bidi="ar-SA"/>
        </w:rPr>
      </w:pPr>
      <w:r>
        <w:rPr>
          <w:rFonts w:hint="eastAsia" w:ascii="Times New Roman" w:hAnsi="Times New Roman" w:eastAsia="仿宋_GB2312" w:cs="Times New Roman"/>
          <w:b/>
          <w:bCs w:val="0"/>
          <w:color w:val="auto"/>
          <w:kern w:val="2"/>
          <w:sz w:val="32"/>
          <w:szCs w:val="20"/>
          <w:lang w:val="en-US" w:eastAsia="zh-CN" w:bidi="ar-SA"/>
        </w:rPr>
        <w:t>8、消防供配电设施：</w:t>
      </w:r>
    </w:p>
    <w:p w14:paraId="04FD1179">
      <w:pPr>
        <w:pStyle w:val="2"/>
        <w:ind w:firstLine="640" w:firstLineChars="200"/>
        <w:rPr>
          <w:rFonts w:hint="eastAsia" w:ascii="Times New Roman" w:hAnsi="Times New Roman" w:eastAsia="仿宋_GB2312" w:cs="Times New Roman"/>
          <w:b w:val="0"/>
          <w:bCs/>
          <w:color w:val="auto"/>
          <w:kern w:val="2"/>
          <w:sz w:val="32"/>
          <w:szCs w:val="20"/>
          <w:lang w:val="en-US" w:eastAsia="zh-CN" w:bidi="ar-SA"/>
        </w:rPr>
      </w:pPr>
      <w:r>
        <w:rPr>
          <w:rFonts w:hint="eastAsia" w:ascii="Times New Roman" w:hAnsi="Times New Roman" w:eastAsia="仿宋_GB2312" w:cs="Times New Roman"/>
          <w:b w:val="0"/>
          <w:bCs/>
          <w:color w:val="auto"/>
          <w:kern w:val="2"/>
          <w:sz w:val="32"/>
          <w:szCs w:val="20"/>
          <w:lang w:val="en-US" w:eastAsia="zh-CN" w:bidi="ar-SA"/>
        </w:rPr>
        <w:t>消防用电设备电源末级配电箱处主、备电切换功能，发现故障及时维修、排除，确保该系统处于正常工作状态；</w:t>
      </w:r>
    </w:p>
    <w:p w14:paraId="643BD028">
      <w:pPr>
        <w:pStyle w:val="2"/>
        <w:ind w:firstLine="643" w:firstLineChars="200"/>
        <w:rPr>
          <w:rFonts w:hint="eastAsia" w:ascii="Times New Roman" w:hAnsi="Times New Roman" w:eastAsia="仿宋_GB2312" w:cs="Times New Roman"/>
          <w:b/>
          <w:bCs w:val="0"/>
          <w:color w:val="auto"/>
          <w:kern w:val="2"/>
          <w:sz w:val="32"/>
          <w:szCs w:val="20"/>
          <w:lang w:val="en-US" w:eastAsia="zh-CN" w:bidi="ar-SA"/>
        </w:rPr>
      </w:pPr>
      <w:r>
        <w:rPr>
          <w:rFonts w:hint="eastAsia" w:ascii="Times New Roman" w:hAnsi="Times New Roman" w:eastAsia="仿宋_GB2312" w:cs="Times New Roman"/>
          <w:b/>
          <w:bCs w:val="0"/>
          <w:color w:val="auto"/>
          <w:kern w:val="2"/>
          <w:sz w:val="32"/>
          <w:szCs w:val="20"/>
          <w:lang w:val="en-US" w:eastAsia="zh-CN" w:bidi="ar-SA"/>
        </w:rPr>
        <w:t>9、消防供水设施：</w:t>
      </w:r>
    </w:p>
    <w:p w14:paraId="135FB6F1">
      <w:pPr>
        <w:pStyle w:val="2"/>
        <w:ind w:firstLine="640" w:firstLineChars="200"/>
        <w:rPr>
          <w:rFonts w:hint="eastAsia" w:ascii="Times New Roman" w:hAnsi="Times New Roman" w:eastAsia="仿宋_GB2312" w:cs="Times New Roman"/>
          <w:b w:val="0"/>
          <w:bCs/>
          <w:color w:val="auto"/>
          <w:kern w:val="2"/>
          <w:sz w:val="32"/>
          <w:szCs w:val="20"/>
          <w:lang w:val="en-US" w:eastAsia="zh-CN" w:bidi="ar-SA"/>
        </w:rPr>
      </w:pPr>
      <w:r>
        <w:rPr>
          <w:rFonts w:hint="eastAsia" w:ascii="Times New Roman" w:hAnsi="Times New Roman" w:eastAsia="仿宋_GB2312" w:cs="Times New Roman"/>
          <w:b w:val="0"/>
          <w:bCs/>
          <w:color w:val="auto"/>
          <w:kern w:val="2"/>
          <w:sz w:val="32"/>
          <w:szCs w:val="20"/>
          <w:lang w:val="en-US" w:eastAsia="zh-CN" w:bidi="ar-SA"/>
        </w:rPr>
        <w:t>消防水池、消防水箱，增压设施压力工况，消防水泵及水泵控制柜的启泵和主备泵切换功能，管道阀门启闭功能，发现故障及时维修、排除，确保该系统处于正常工作状态；</w:t>
      </w:r>
    </w:p>
    <w:p w14:paraId="27858294">
      <w:pPr>
        <w:pStyle w:val="2"/>
        <w:ind w:firstLine="643" w:firstLineChars="200"/>
        <w:rPr>
          <w:rFonts w:hint="eastAsia" w:ascii="Times New Roman" w:hAnsi="Times New Roman" w:eastAsia="仿宋_GB2312" w:cs="Times New Roman"/>
          <w:b/>
          <w:bCs w:val="0"/>
          <w:color w:val="auto"/>
          <w:kern w:val="2"/>
          <w:sz w:val="32"/>
          <w:szCs w:val="20"/>
          <w:lang w:val="en-US" w:eastAsia="zh-CN" w:bidi="ar-SA"/>
        </w:rPr>
      </w:pPr>
      <w:r>
        <w:rPr>
          <w:rFonts w:hint="eastAsia" w:ascii="Times New Roman" w:hAnsi="Times New Roman" w:eastAsia="仿宋_GB2312" w:cs="Times New Roman"/>
          <w:b/>
          <w:bCs w:val="0"/>
          <w:color w:val="auto"/>
          <w:kern w:val="2"/>
          <w:sz w:val="32"/>
          <w:szCs w:val="20"/>
          <w:lang w:val="en-US" w:eastAsia="zh-CN" w:bidi="ar-SA"/>
        </w:rPr>
        <w:t>10、消防电话和应急广播：</w:t>
      </w:r>
    </w:p>
    <w:p w14:paraId="14F5DD45">
      <w:pPr>
        <w:pStyle w:val="2"/>
        <w:ind w:firstLine="640" w:firstLineChars="200"/>
        <w:rPr>
          <w:rFonts w:hint="eastAsia" w:ascii="Times New Roman" w:hAnsi="Times New Roman" w:eastAsia="仿宋_GB2312" w:cs="Times New Roman"/>
          <w:b w:val="0"/>
          <w:bCs/>
          <w:color w:val="auto"/>
          <w:kern w:val="2"/>
          <w:sz w:val="32"/>
          <w:szCs w:val="20"/>
          <w:lang w:val="en-US" w:eastAsia="zh-CN" w:bidi="ar-SA"/>
        </w:rPr>
      </w:pPr>
      <w:r>
        <w:rPr>
          <w:rFonts w:hint="eastAsia" w:ascii="Times New Roman" w:hAnsi="Times New Roman" w:eastAsia="仿宋_GB2312" w:cs="Times New Roman"/>
          <w:b w:val="0"/>
          <w:bCs/>
          <w:color w:val="auto"/>
          <w:kern w:val="2"/>
          <w:sz w:val="32"/>
          <w:szCs w:val="20"/>
          <w:lang w:val="en-US" w:eastAsia="zh-CN" w:bidi="ar-SA"/>
        </w:rPr>
        <w:t>通话、广播质量，应急情况下强制切换功能，发现故障及时维修、排除，确保该系统处于正常工作状态；</w:t>
      </w:r>
    </w:p>
    <w:p w14:paraId="156C6F2D">
      <w:pPr>
        <w:pStyle w:val="2"/>
        <w:ind w:firstLine="643" w:firstLineChars="200"/>
        <w:rPr>
          <w:rFonts w:hint="eastAsia" w:ascii="Times New Roman" w:hAnsi="Times New Roman" w:eastAsia="仿宋_GB2312" w:cs="Times New Roman"/>
          <w:b/>
          <w:bCs w:val="0"/>
          <w:color w:val="auto"/>
          <w:kern w:val="2"/>
          <w:sz w:val="32"/>
          <w:szCs w:val="20"/>
          <w:lang w:val="en-US" w:eastAsia="zh-CN" w:bidi="ar-SA"/>
        </w:rPr>
      </w:pPr>
      <w:r>
        <w:rPr>
          <w:rFonts w:hint="eastAsia" w:ascii="Times New Roman" w:hAnsi="Times New Roman" w:eastAsia="仿宋_GB2312" w:cs="Times New Roman"/>
          <w:b/>
          <w:bCs w:val="0"/>
          <w:color w:val="auto"/>
          <w:kern w:val="2"/>
          <w:sz w:val="32"/>
          <w:szCs w:val="20"/>
          <w:lang w:val="en-US" w:eastAsia="zh-CN" w:bidi="ar-SA"/>
        </w:rPr>
        <w:t>11、消防电梯：</w:t>
      </w:r>
    </w:p>
    <w:p w14:paraId="3F2F7778">
      <w:pPr>
        <w:pStyle w:val="2"/>
        <w:ind w:firstLine="640" w:firstLineChars="200"/>
        <w:rPr>
          <w:rFonts w:hint="eastAsia" w:ascii="Times New Roman" w:hAnsi="Times New Roman" w:eastAsia="仿宋_GB2312" w:cs="Times New Roman"/>
          <w:b w:val="0"/>
          <w:bCs/>
          <w:color w:val="auto"/>
          <w:kern w:val="2"/>
          <w:sz w:val="32"/>
          <w:szCs w:val="20"/>
          <w:lang w:val="en-US" w:eastAsia="zh-CN" w:bidi="ar-SA"/>
        </w:rPr>
      </w:pPr>
      <w:r>
        <w:rPr>
          <w:rFonts w:hint="eastAsia" w:ascii="Times New Roman" w:hAnsi="Times New Roman" w:eastAsia="仿宋_GB2312" w:cs="Times New Roman"/>
          <w:b w:val="0"/>
          <w:bCs/>
          <w:color w:val="auto"/>
          <w:kern w:val="2"/>
          <w:sz w:val="32"/>
          <w:szCs w:val="20"/>
          <w:lang w:val="en-US" w:eastAsia="zh-CN" w:bidi="ar-SA"/>
        </w:rPr>
        <w:t>首层按钮控制和联动电梯回首层，电梯轿箱内消防电话，电梯井排水设备，发现故障及时维修、排除，确保该系统处于正常工作状态；</w:t>
      </w:r>
    </w:p>
    <w:p w14:paraId="7AECDA94">
      <w:pPr>
        <w:pStyle w:val="2"/>
        <w:numPr>
          <w:ilvl w:val="0"/>
          <w:numId w:val="0"/>
        </w:numPr>
        <w:ind w:left="630" w:leftChars="0"/>
        <w:rPr>
          <w:rFonts w:hint="eastAsia" w:ascii="Times New Roman" w:hAnsi="Times New Roman" w:eastAsia="仿宋_GB2312" w:cs="Times New Roman"/>
          <w:b/>
          <w:color w:val="auto"/>
          <w:sz w:val="28"/>
          <w:szCs w:val="28"/>
          <w:lang w:val="en-US" w:eastAsia="zh-CN"/>
        </w:rPr>
      </w:pPr>
      <w:r>
        <w:rPr>
          <w:rFonts w:hint="eastAsia" w:ascii="Times New Roman" w:hAnsi="Times New Roman" w:eastAsia="仿宋_GB2312" w:cs="Times New Roman"/>
          <w:b/>
          <w:color w:val="auto"/>
          <w:sz w:val="32"/>
          <w:szCs w:val="32"/>
          <w:lang w:val="en-US" w:eastAsia="zh-CN"/>
        </w:rPr>
        <w:t>12、灭火器消防栓设备：</w:t>
      </w:r>
    </w:p>
    <w:p w14:paraId="5CAD7E3F">
      <w:pPr>
        <w:pStyle w:val="2"/>
        <w:ind w:firstLine="640" w:firstLineChars="200"/>
        <w:rPr>
          <w:rFonts w:hint="eastAsia" w:ascii="Times New Roman" w:hAnsi="Times New Roman" w:eastAsia="仿宋_GB2312" w:cs="Times New Roman"/>
          <w:b w:val="0"/>
          <w:bCs/>
          <w:color w:val="auto"/>
          <w:kern w:val="2"/>
          <w:sz w:val="32"/>
          <w:szCs w:val="20"/>
          <w:lang w:val="en-US" w:eastAsia="zh-CN" w:bidi="ar-SA"/>
        </w:rPr>
      </w:pPr>
      <w:r>
        <w:rPr>
          <w:rFonts w:hint="eastAsia" w:ascii="Times New Roman" w:hAnsi="Times New Roman" w:eastAsia="仿宋_GB2312" w:cs="Times New Roman"/>
          <w:b w:val="0"/>
          <w:bCs/>
          <w:color w:val="auto"/>
          <w:kern w:val="2"/>
          <w:sz w:val="32"/>
          <w:szCs w:val="20"/>
          <w:lang w:val="en-US" w:eastAsia="zh-CN" w:bidi="ar-SA"/>
        </w:rPr>
        <w:t>检查灭火器及消防栓箱配置是否完整齐全，包括检查每个灭火器的外观、有效期、压力是否正常，消防栓箱枪头、水带、软管等配置是否完整齐全，每个消防栓口的静压是否符合设计或规范要求，栓口橡胶是否老化、龟裂，玻璃是否破碎等。</w:t>
      </w:r>
    </w:p>
    <w:p w14:paraId="61723D1F">
      <w:pPr>
        <w:pStyle w:val="2"/>
        <w:numPr>
          <w:ilvl w:val="0"/>
          <w:numId w:val="0"/>
        </w:numPr>
        <w:ind w:firstLine="643" w:firstLineChars="200"/>
        <w:rPr>
          <w:rFonts w:hint="eastAsia" w:ascii="Times New Roman" w:hAnsi="Times New Roman" w:eastAsia="仿宋_GB2312" w:cs="Times New Roman"/>
          <w:b/>
          <w:color w:val="auto"/>
          <w:sz w:val="32"/>
          <w:szCs w:val="32"/>
          <w:lang w:val="en-US" w:eastAsia="zh-CN"/>
        </w:rPr>
      </w:pPr>
      <w:r>
        <w:rPr>
          <w:rFonts w:hint="eastAsia" w:ascii="Times New Roman" w:hAnsi="Times New Roman" w:eastAsia="仿宋_GB2312" w:cs="Times New Roman"/>
          <w:b/>
          <w:color w:val="auto"/>
          <w:sz w:val="32"/>
          <w:szCs w:val="32"/>
          <w:lang w:val="en-US" w:eastAsia="zh-CN"/>
        </w:rPr>
        <w:t>13、其他需要测试检查的内容。</w:t>
      </w:r>
    </w:p>
    <w:p w14:paraId="6C913732">
      <w:pPr>
        <w:pStyle w:val="2"/>
        <w:numPr>
          <w:ilvl w:val="0"/>
          <w:numId w:val="0"/>
        </w:numPr>
        <w:ind w:firstLine="643" w:firstLineChars="200"/>
        <w:rPr>
          <w:rFonts w:hint="eastAsia" w:ascii="Times New Roman" w:hAnsi="Times New Roman" w:eastAsia="仿宋_GB2312" w:cs="Times New Roman"/>
          <w:b/>
          <w:color w:val="auto"/>
          <w:sz w:val="32"/>
          <w:szCs w:val="32"/>
          <w:lang w:val="en-US" w:eastAsia="zh-CN"/>
        </w:rPr>
      </w:pPr>
      <w:r>
        <w:rPr>
          <w:rFonts w:hint="eastAsia" w:ascii="Times New Roman" w:hAnsi="Times New Roman" w:eastAsia="仿宋_GB2312" w:cs="Times New Roman"/>
          <w:b/>
          <w:color w:val="auto"/>
          <w:sz w:val="32"/>
          <w:szCs w:val="32"/>
          <w:lang w:val="en-US" w:eastAsia="zh-CN"/>
        </w:rPr>
        <w:t>（三）半年检维修保养要求：</w:t>
      </w:r>
    </w:p>
    <w:p w14:paraId="59C973FB">
      <w:pPr>
        <w:pStyle w:val="2"/>
        <w:ind w:firstLine="640" w:firstLineChars="200"/>
        <w:rPr>
          <w:rFonts w:hint="eastAsia" w:ascii="Times New Roman" w:hAnsi="Times New Roman" w:eastAsia="仿宋_GB2312" w:cs="Times New Roman"/>
          <w:b w:val="0"/>
          <w:bCs/>
          <w:color w:val="auto"/>
          <w:kern w:val="2"/>
          <w:sz w:val="32"/>
          <w:szCs w:val="20"/>
          <w:lang w:val="en-US" w:eastAsia="zh-CN" w:bidi="ar-SA"/>
        </w:rPr>
      </w:pPr>
      <w:r>
        <w:rPr>
          <w:rFonts w:hint="eastAsia" w:ascii="Times New Roman" w:hAnsi="Times New Roman" w:eastAsia="仿宋_GB2312" w:cs="Times New Roman"/>
          <w:b w:val="0"/>
          <w:bCs/>
          <w:color w:val="auto"/>
          <w:kern w:val="2"/>
          <w:sz w:val="32"/>
          <w:szCs w:val="20"/>
          <w:lang w:val="en-US" w:eastAsia="zh-CN" w:bidi="ar-SA"/>
        </w:rPr>
        <w:t>中标方须每半年进行一次消防系统全面检查，每半年配合业主进行不少于一次的消防演习。</w:t>
      </w:r>
    </w:p>
    <w:p w14:paraId="277F6BD1">
      <w:pPr>
        <w:pStyle w:val="2"/>
        <w:numPr>
          <w:ilvl w:val="0"/>
          <w:numId w:val="0"/>
        </w:numPr>
        <w:ind w:firstLine="643" w:firstLineChars="200"/>
        <w:rPr>
          <w:rFonts w:hint="eastAsia" w:ascii="Times New Roman" w:hAnsi="Times New Roman" w:eastAsia="仿宋_GB2312" w:cs="Times New Roman"/>
          <w:b/>
          <w:color w:val="auto"/>
          <w:sz w:val="32"/>
          <w:szCs w:val="32"/>
          <w:lang w:val="en-US" w:eastAsia="zh-CN"/>
        </w:rPr>
      </w:pPr>
      <w:r>
        <w:rPr>
          <w:rFonts w:hint="eastAsia" w:ascii="Times New Roman" w:hAnsi="Times New Roman" w:eastAsia="仿宋_GB2312" w:cs="Times New Roman"/>
          <w:b/>
          <w:color w:val="auto"/>
          <w:sz w:val="32"/>
          <w:szCs w:val="32"/>
          <w:lang w:val="en-US" w:eastAsia="zh-CN"/>
        </w:rPr>
        <w:t>（四）年度检测内容：</w:t>
      </w:r>
    </w:p>
    <w:p w14:paraId="62976025">
      <w:pPr>
        <w:pStyle w:val="2"/>
        <w:numPr>
          <w:ilvl w:val="0"/>
          <w:numId w:val="0"/>
        </w:numPr>
        <w:ind w:firstLine="643" w:firstLineChars="200"/>
        <w:rPr>
          <w:rFonts w:hint="eastAsia" w:ascii="Times New Roman" w:hAnsi="Times New Roman" w:eastAsia="仿宋_GB2312" w:cs="Times New Roman"/>
          <w:b/>
          <w:color w:val="auto"/>
          <w:sz w:val="32"/>
          <w:szCs w:val="32"/>
          <w:lang w:val="en-US" w:eastAsia="zh-CN"/>
        </w:rPr>
      </w:pPr>
      <w:r>
        <w:rPr>
          <w:rFonts w:hint="eastAsia" w:ascii="Times New Roman" w:hAnsi="Times New Roman" w:eastAsia="仿宋_GB2312" w:cs="Times New Roman"/>
          <w:b/>
          <w:color w:val="auto"/>
          <w:sz w:val="32"/>
          <w:szCs w:val="32"/>
          <w:lang w:val="en-US" w:eastAsia="zh-CN"/>
        </w:rPr>
        <w:t>1、火灾自动报警系统</w:t>
      </w:r>
    </w:p>
    <w:p w14:paraId="486AB00A">
      <w:pPr>
        <w:pStyle w:val="2"/>
        <w:ind w:firstLine="640" w:firstLineChars="200"/>
        <w:rPr>
          <w:rFonts w:hint="eastAsia" w:ascii="Times New Roman" w:hAnsi="Times New Roman" w:eastAsia="仿宋_GB2312" w:cs="Times New Roman"/>
          <w:b w:val="0"/>
          <w:bCs/>
          <w:color w:val="auto"/>
          <w:kern w:val="2"/>
          <w:sz w:val="32"/>
          <w:szCs w:val="20"/>
          <w:lang w:val="en-US" w:eastAsia="zh-CN" w:bidi="ar-SA"/>
        </w:rPr>
      </w:pPr>
      <w:r>
        <w:rPr>
          <w:rFonts w:hint="eastAsia" w:ascii="Times New Roman" w:hAnsi="Times New Roman" w:eastAsia="仿宋_GB2312" w:cs="Times New Roman"/>
          <w:b w:val="0"/>
          <w:bCs/>
          <w:color w:val="auto"/>
          <w:kern w:val="2"/>
          <w:sz w:val="32"/>
          <w:szCs w:val="20"/>
          <w:lang w:val="en-US" w:eastAsia="zh-CN" w:bidi="ar-SA"/>
        </w:rPr>
        <w:t>1.1检测火灾自动报警系统线路的绝缘电阻、接地电阻、系统的接地、管线的安装及其保护状况；</w:t>
      </w:r>
    </w:p>
    <w:p w14:paraId="3AE49BEF">
      <w:pPr>
        <w:pStyle w:val="2"/>
        <w:ind w:firstLine="640" w:firstLineChars="200"/>
        <w:rPr>
          <w:rFonts w:hint="eastAsia" w:ascii="Times New Roman" w:hAnsi="Times New Roman" w:eastAsia="仿宋_GB2312" w:cs="Times New Roman"/>
          <w:b w:val="0"/>
          <w:bCs/>
          <w:color w:val="auto"/>
          <w:kern w:val="2"/>
          <w:sz w:val="32"/>
          <w:szCs w:val="20"/>
          <w:lang w:val="en-US" w:eastAsia="zh-CN" w:bidi="ar-SA"/>
        </w:rPr>
      </w:pPr>
      <w:r>
        <w:rPr>
          <w:rFonts w:hint="eastAsia" w:ascii="Times New Roman" w:hAnsi="Times New Roman" w:eastAsia="仿宋_GB2312" w:cs="Times New Roman"/>
          <w:b w:val="0"/>
          <w:bCs/>
          <w:color w:val="auto"/>
          <w:kern w:val="2"/>
          <w:sz w:val="32"/>
          <w:szCs w:val="20"/>
          <w:lang w:val="en-US" w:eastAsia="zh-CN" w:bidi="ar-SA"/>
        </w:rPr>
        <w:t>1.2检测火灾探测器和手动报警按钮的设置状况、安装质量、保护半径及与周围遮挡物的距离等，并按80%的比例抽检其报警功能；</w:t>
      </w:r>
    </w:p>
    <w:p w14:paraId="6A27F3AA">
      <w:pPr>
        <w:pStyle w:val="2"/>
        <w:ind w:firstLine="640" w:firstLineChars="200"/>
        <w:rPr>
          <w:rFonts w:hint="eastAsia" w:ascii="Times New Roman" w:hAnsi="Times New Roman" w:eastAsia="仿宋_GB2312" w:cs="Times New Roman"/>
          <w:b w:val="0"/>
          <w:bCs/>
          <w:color w:val="auto"/>
          <w:kern w:val="2"/>
          <w:sz w:val="32"/>
          <w:szCs w:val="20"/>
          <w:lang w:val="en-US" w:eastAsia="zh-CN" w:bidi="ar-SA"/>
        </w:rPr>
      </w:pPr>
      <w:r>
        <w:rPr>
          <w:rFonts w:hint="eastAsia" w:ascii="Times New Roman" w:hAnsi="Times New Roman" w:eastAsia="仿宋_GB2312" w:cs="Times New Roman"/>
          <w:b w:val="0"/>
          <w:bCs/>
          <w:color w:val="auto"/>
          <w:kern w:val="2"/>
          <w:sz w:val="32"/>
          <w:szCs w:val="20"/>
          <w:lang w:val="en-US" w:eastAsia="zh-CN" w:bidi="ar-SA"/>
        </w:rPr>
        <w:t>1.3检测火灾报警控制器的安装质量、柜内配线、保护接地的设置、主备电源的设置及其转换功能，并对控制器的各项功能测试；</w:t>
      </w:r>
    </w:p>
    <w:p w14:paraId="579C38AD">
      <w:pPr>
        <w:pStyle w:val="2"/>
        <w:ind w:firstLine="640" w:firstLineChars="200"/>
        <w:rPr>
          <w:rFonts w:hint="eastAsia" w:ascii="Times New Roman" w:hAnsi="Times New Roman" w:eastAsia="仿宋_GB2312" w:cs="Times New Roman"/>
          <w:b w:val="0"/>
          <w:bCs/>
          <w:color w:val="auto"/>
          <w:kern w:val="2"/>
          <w:sz w:val="32"/>
          <w:szCs w:val="20"/>
          <w:lang w:val="en-US" w:eastAsia="zh-CN" w:bidi="ar-SA"/>
        </w:rPr>
      </w:pPr>
      <w:r>
        <w:rPr>
          <w:rFonts w:hint="eastAsia" w:ascii="Times New Roman" w:hAnsi="Times New Roman" w:eastAsia="仿宋_GB2312" w:cs="Times New Roman"/>
          <w:b w:val="0"/>
          <w:bCs/>
          <w:color w:val="auto"/>
          <w:kern w:val="2"/>
          <w:sz w:val="32"/>
          <w:szCs w:val="20"/>
          <w:lang w:val="en-US" w:eastAsia="zh-CN" w:bidi="ar-SA"/>
        </w:rPr>
        <w:t>1.4检测消防设备控制柜的安装质量、柜内配线、手、自动控制及屏面接受消防设备的信号反馈功能；</w:t>
      </w:r>
    </w:p>
    <w:p w14:paraId="6F94B404">
      <w:pPr>
        <w:pStyle w:val="2"/>
        <w:ind w:firstLine="640" w:firstLineChars="200"/>
        <w:rPr>
          <w:rFonts w:hint="eastAsia" w:ascii="Times New Roman" w:hAnsi="Times New Roman" w:eastAsia="仿宋_GB2312" w:cs="Times New Roman"/>
          <w:b w:val="0"/>
          <w:bCs/>
          <w:color w:val="auto"/>
          <w:kern w:val="2"/>
          <w:sz w:val="32"/>
          <w:szCs w:val="20"/>
          <w:lang w:val="en-US" w:eastAsia="zh-CN" w:bidi="ar-SA"/>
        </w:rPr>
      </w:pPr>
      <w:r>
        <w:rPr>
          <w:rFonts w:hint="eastAsia" w:ascii="Times New Roman" w:hAnsi="Times New Roman" w:eastAsia="仿宋_GB2312" w:cs="Times New Roman"/>
          <w:b w:val="0"/>
          <w:bCs/>
          <w:color w:val="auto"/>
          <w:kern w:val="2"/>
          <w:sz w:val="32"/>
          <w:szCs w:val="20"/>
          <w:lang w:val="en-US" w:eastAsia="zh-CN" w:bidi="ar-SA"/>
        </w:rPr>
        <w:t>1.5检测电梯的迫降功能、消防电梯的使用功能，切断非消防电源功能和着火层的灯光显示功能；</w:t>
      </w:r>
    </w:p>
    <w:p w14:paraId="2ADC3812">
      <w:pPr>
        <w:pStyle w:val="2"/>
        <w:ind w:firstLine="640" w:firstLineChars="200"/>
        <w:rPr>
          <w:rFonts w:hint="eastAsia" w:ascii="Times New Roman" w:hAnsi="Times New Roman" w:eastAsia="仿宋_GB2312" w:cs="Times New Roman"/>
          <w:b w:val="0"/>
          <w:bCs/>
          <w:color w:val="auto"/>
          <w:kern w:val="2"/>
          <w:sz w:val="32"/>
          <w:szCs w:val="20"/>
          <w:lang w:val="en-US" w:eastAsia="zh-CN" w:bidi="ar-SA"/>
        </w:rPr>
      </w:pPr>
      <w:r>
        <w:rPr>
          <w:rFonts w:hint="eastAsia" w:ascii="Times New Roman" w:hAnsi="Times New Roman" w:eastAsia="仿宋_GB2312" w:cs="Times New Roman"/>
          <w:b w:val="0"/>
          <w:bCs/>
          <w:color w:val="auto"/>
          <w:kern w:val="2"/>
          <w:sz w:val="32"/>
          <w:szCs w:val="20"/>
          <w:lang w:val="en-US" w:eastAsia="zh-CN" w:bidi="ar-SA"/>
        </w:rPr>
        <w:t>1.6检测消防控制室、各消防设备间及消火栓按钮处的消防通讯功能；</w:t>
      </w:r>
    </w:p>
    <w:p w14:paraId="0F38CCA9">
      <w:pPr>
        <w:pStyle w:val="2"/>
        <w:ind w:firstLine="640" w:firstLineChars="200"/>
        <w:rPr>
          <w:rFonts w:hint="eastAsia" w:ascii="Times New Roman" w:hAnsi="Times New Roman" w:eastAsia="仿宋_GB2312" w:cs="Times New Roman"/>
          <w:b w:val="0"/>
          <w:bCs/>
          <w:color w:val="auto"/>
          <w:kern w:val="2"/>
          <w:sz w:val="32"/>
          <w:szCs w:val="20"/>
          <w:lang w:val="en-US" w:eastAsia="zh-CN" w:bidi="ar-SA"/>
        </w:rPr>
      </w:pPr>
      <w:r>
        <w:rPr>
          <w:rFonts w:hint="eastAsia" w:ascii="Times New Roman" w:hAnsi="Times New Roman" w:eastAsia="仿宋_GB2312" w:cs="Times New Roman"/>
          <w:b w:val="0"/>
          <w:bCs/>
          <w:color w:val="auto"/>
          <w:kern w:val="2"/>
          <w:sz w:val="32"/>
          <w:szCs w:val="20"/>
          <w:lang w:val="en-US" w:eastAsia="zh-CN" w:bidi="ar-SA"/>
        </w:rPr>
        <w:t>1.7检测火灾应急广播的音响功能，手动选层和自动广播、遥控开启和强行切换等功能；</w:t>
      </w:r>
    </w:p>
    <w:p w14:paraId="44D192F5">
      <w:pPr>
        <w:pStyle w:val="2"/>
        <w:ind w:firstLine="640" w:firstLineChars="200"/>
        <w:rPr>
          <w:rFonts w:hint="eastAsia" w:ascii="Times New Roman" w:hAnsi="Times New Roman" w:eastAsia="仿宋_GB2312" w:cs="Times New Roman"/>
          <w:b w:val="0"/>
          <w:bCs/>
          <w:color w:val="auto"/>
          <w:kern w:val="2"/>
          <w:sz w:val="32"/>
          <w:szCs w:val="20"/>
          <w:lang w:val="en-US" w:eastAsia="zh-CN" w:bidi="ar-SA"/>
        </w:rPr>
      </w:pPr>
      <w:r>
        <w:rPr>
          <w:rFonts w:hint="eastAsia" w:ascii="Times New Roman" w:hAnsi="Times New Roman" w:eastAsia="仿宋_GB2312" w:cs="Times New Roman"/>
          <w:b w:val="0"/>
          <w:bCs/>
          <w:color w:val="auto"/>
          <w:kern w:val="2"/>
          <w:sz w:val="32"/>
          <w:szCs w:val="20"/>
          <w:lang w:val="en-US" w:eastAsia="zh-CN" w:bidi="ar-SA"/>
        </w:rPr>
        <w:t>1.8检测消防控制室的设置位置及明显标志、室内防火阀及无关管线的设置、双回路电源的设置和切换功能；</w:t>
      </w:r>
    </w:p>
    <w:p w14:paraId="749FD37B">
      <w:pPr>
        <w:pStyle w:val="2"/>
        <w:ind w:firstLine="640" w:firstLineChars="200"/>
        <w:rPr>
          <w:rFonts w:hint="eastAsia" w:ascii="Times New Roman" w:hAnsi="Times New Roman" w:eastAsia="仿宋_GB2312" w:cs="Times New Roman"/>
          <w:b w:val="0"/>
          <w:bCs/>
          <w:color w:val="auto"/>
          <w:kern w:val="2"/>
          <w:sz w:val="32"/>
          <w:szCs w:val="20"/>
          <w:lang w:val="en-US" w:eastAsia="zh-CN" w:bidi="ar-SA"/>
        </w:rPr>
      </w:pPr>
      <w:r>
        <w:rPr>
          <w:rFonts w:hint="eastAsia" w:ascii="Times New Roman" w:hAnsi="Times New Roman" w:eastAsia="仿宋_GB2312" w:cs="Times New Roman"/>
          <w:b w:val="0"/>
          <w:bCs/>
          <w:color w:val="auto"/>
          <w:kern w:val="2"/>
          <w:sz w:val="32"/>
          <w:szCs w:val="20"/>
          <w:lang w:val="en-US" w:eastAsia="zh-CN" w:bidi="ar-SA"/>
        </w:rPr>
        <w:t>1.9检测火灾应急照明和疏散指示标志的设置、照度、转换时间和图形符号。</w:t>
      </w:r>
    </w:p>
    <w:p w14:paraId="4CDE480C">
      <w:pPr>
        <w:pStyle w:val="2"/>
        <w:ind w:firstLine="640" w:firstLineChars="200"/>
        <w:rPr>
          <w:rFonts w:hint="eastAsia" w:ascii="Times New Roman" w:hAnsi="Times New Roman" w:eastAsia="仿宋_GB2312" w:cs="Times New Roman"/>
          <w:b w:val="0"/>
          <w:bCs/>
          <w:color w:val="auto"/>
          <w:kern w:val="2"/>
          <w:sz w:val="32"/>
          <w:szCs w:val="20"/>
          <w:lang w:val="en-US" w:eastAsia="zh-CN" w:bidi="ar-SA"/>
        </w:rPr>
      </w:pPr>
      <w:r>
        <w:rPr>
          <w:rFonts w:hint="eastAsia" w:ascii="Times New Roman" w:hAnsi="Times New Roman" w:eastAsia="仿宋_GB2312" w:cs="Times New Roman"/>
          <w:b w:val="0"/>
          <w:bCs/>
          <w:color w:val="auto"/>
          <w:kern w:val="2"/>
          <w:sz w:val="32"/>
          <w:szCs w:val="20"/>
          <w:lang w:val="en-US" w:eastAsia="zh-CN" w:bidi="ar-SA"/>
        </w:rPr>
        <w:t>2、消防供水系统</w:t>
      </w:r>
    </w:p>
    <w:p w14:paraId="2484A24F">
      <w:pPr>
        <w:pStyle w:val="2"/>
        <w:ind w:firstLine="640" w:firstLineChars="200"/>
        <w:rPr>
          <w:rFonts w:hint="eastAsia" w:ascii="Times New Roman" w:hAnsi="Times New Roman" w:eastAsia="仿宋_GB2312" w:cs="Times New Roman"/>
          <w:b w:val="0"/>
          <w:bCs/>
          <w:color w:val="auto"/>
          <w:kern w:val="2"/>
          <w:sz w:val="32"/>
          <w:szCs w:val="20"/>
          <w:lang w:val="en-US" w:eastAsia="zh-CN" w:bidi="ar-SA"/>
        </w:rPr>
      </w:pPr>
      <w:r>
        <w:rPr>
          <w:rFonts w:hint="eastAsia" w:ascii="Times New Roman" w:hAnsi="Times New Roman" w:eastAsia="仿宋_GB2312" w:cs="Times New Roman"/>
          <w:b w:val="0"/>
          <w:bCs/>
          <w:color w:val="auto"/>
          <w:kern w:val="2"/>
          <w:sz w:val="32"/>
          <w:szCs w:val="20"/>
          <w:lang w:val="en-US" w:eastAsia="zh-CN" w:bidi="ar-SA"/>
        </w:rPr>
        <w:t>2.1检查消防水源的性质、进水管的条数和直径及消防水池的设置状况；</w:t>
      </w:r>
    </w:p>
    <w:p w14:paraId="27FE58BA">
      <w:pPr>
        <w:pStyle w:val="2"/>
        <w:ind w:firstLine="640" w:firstLineChars="200"/>
        <w:rPr>
          <w:rFonts w:hint="eastAsia" w:ascii="Times New Roman" w:hAnsi="Times New Roman" w:eastAsia="仿宋_GB2312" w:cs="Times New Roman"/>
          <w:b w:val="0"/>
          <w:bCs/>
          <w:color w:val="auto"/>
          <w:kern w:val="2"/>
          <w:sz w:val="32"/>
          <w:szCs w:val="20"/>
          <w:lang w:val="en-US" w:eastAsia="zh-CN" w:bidi="ar-SA"/>
        </w:rPr>
      </w:pPr>
      <w:r>
        <w:rPr>
          <w:rFonts w:hint="eastAsia" w:ascii="Times New Roman" w:hAnsi="Times New Roman" w:eastAsia="仿宋_GB2312" w:cs="Times New Roman"/>
          <w:b w:val="0"/>
          <w:bCs/>
          <w:color w:val="auto"/>
          <w:kern w:val="2"/>
          <w:sz w:val="32"/>
          <w:szCs w:val="20"/>
          <w:lang w:val="en-US" w:eastAsia="zh-CN" w:bidi="ar-SA"/>
        </w:rPr>
        <w:t>2.2检查消防水池的容积、水位指示器和补水设施、保证消防用水和防冻措施等；</w:t>
      </w:r>
    </w:p>
    <w:p w14:paraId="32E55ED9">
      <w:pPr>
        <w:pStyle w:val="2"/>
        <w:ind w:firstLine="640" w:firstLineChars="200"/>
        <w:rPr>
          <w:rFonts w:hint="eastAsia" w:ascii="Times New Roman" w:hAnsi="Times New Roman" w:eastAsia="仿宋_GB2312" w:cs="Times New Roman"/>
          <w:b w:val="0"/>
          <w:bCs/>
          <w:color w:val="auto"/>
          <w:kern w:val="2"/>
          <w:sz w:val="32"/>
          <w:szCs w:val="20"/>
          <w:lang w:val="en-US" w:eastAsia="zh-CN" w:bidi="ar-SA"/>
        </w:rPr>
      </w:pPr>
      <w:r>
        <w:rPr>
          <w:rFonts w:hint="eastAsia" w:ascii="Times New Roman" w:hAnsi="Times New Roman" w:eastAsia="仿宋_GB2312" w:cs="Times New Roman"/>
          <w:b w:val="0"/>
          <w:bCs/>
          <w:color w:val="auto"/>
          <w:kern w:val="2"/>
          <w:sz w:val="32"/>
          <w:szCs w:val="20"/>
          <w:lang w:val="en-US" w:eastAsia="zh-CN" w:bidi="ar-SA"/>
        </w:rPr>
        <w:t>2.3检查消防水箱的设置、容积、防冻措施、补水及单向阀的状况等；</w:t>
      </w:r>
    </w:p>
    <w:p w14:paraId="081C7F01">
      <w:pPr>
        <w:pStyle w:val="2"/>
        <w:ind w:firstLine="640" w:firstLineChars="200"/>
        <w:rPr>
          <w:rFonts w:hint="eastAsia" w:ascii="Times New Roman" w:hAnsi="Times New Roman" w:eastAsia="仿宋_GB2312" w:cs="Times New Roman"/>
          <w:b w:val="0"/>
          <w:bCs/>
          <w:color w:val="auto"/>
          <w:kern w:val="2"/>
          <w:sz w:val="32"/>
          <w:szCs w:val="20"/>
          <w:lang w:val="en-US" w:eastAsia="zh-CN" w:bidi="ar-SA"/>
        </w:rPr>
      </w:pPr>
      <w:r>
        <w:rPr>
          <w:rFonts w:hint="eastAsia" w:ascii="Times New Roman" w:hAnsi="Times New Roman" w:eastAsia="仿宋_GB2312" w:cs="Times New Roman"/>
          <w:b w:val="0"/>
          <w:bCs/>
          <w:color w:val="auto"/>
          <w:kern w:val="2"/>
          <w:sz w:val="32"/>
          <w:szCs w:val="20"/>
          <w:lang w:val="en-US" w:eastAsia="zh-CN" w:bidi="ar-SA"/>
        </w:rPr>
        <w:t>2.4检测各种消防供水泵的性能、管道、手自动控制、启动时间，主备泵和主备电源转换功能等；</w:t>
      </w:r>
    </w:p>
    <w:p w14:paraId="78D24F13">
      <w:pPr>
        <w:pStyle w:val="2"/>
        <w:ind w:firstLine="640" w:firstLineChars="200"/>
        <w:rPr>
          <w:rFonts w:hint="eastAsia" w:ascii="Times New Roman" w:hAnsi="Times New Roman" w:eastAsia="仿宋_GB2312" w:cs="Times New Roman"/>
          <w:b w:val="0"/>
          <w:bCs/>
          <w:color w:val="auto"/>
          <w:kern w:val="2"/>
          <w:sz w:val="32"/>
          <w:szCs w:val="20"/>
          <w:lang w:val="en-US" w:eastAsia="zh-CN" w:bidi="ar-SA"/>
        </w:rPr>
      </w:pPr>
      <w:r>
        <w:rPr>
          <w:rFonts w:hint="eastAsia" w:ascii="Times New Roman" w:hAnsi="Times New Roman" w:eastAsia="仿宋_GB2312" w:cs="Times New Roman"/>
          <w:b w:val="0"/>
          <w:bCs/>
          <w:color w:val="auto"/>
          <w:kern w:val="2"/>
          <w:sz w:val="32"/>
          <w:szCs w:val="20"/>
          <w:lang w:val="en-US" w:eastAsia="zh-CN" w:bidi="ar-SA"/>
        </w:rPr>
        <w:t>2.5检测水泵结合器的设置、标志及输送消防水的功能等。</w:t>
      </w:r>
    </w:p>
    <w:p w14:paraId="0676DB2C">
      <w:pPr>
        <w:pStyle w:val="2"/>
        <w:ind w:firstLine="640" w:firstLineChars="200"/>
        <w:rPr>
          <w:rFonts w:hint="eastAsia" w:ascii="Times New Roman" w:hAnsi="Times New Roman" w:eastAsia="仿宋_GB2312" w:cs="Times New Roman"/>
          <w:b w:val="0"/>
          <w:bCs/>
          <w:color w:val="auto"/>
          <w:kern w:val="2"/>
          <w:sz w:val="32"/>
          <w:szCs w:val="20"/>
          <w:lang w:val="en-US" w:eastAsia="zh-CN" w:bidi="ar-SA"/>
        </w:rPr>
      </w:pPr>
      <w:r>
        <w:rPr>
          <w:rFonts w:hint="eastAsia" w:ascii="Times New Roman" w:hAnsi="Times New Roman" w:eastAsia="仿宋_GB2312" w:cs="Times New Roman"/>
          <w:b w:val="0"/>
          <w:bCs/>
          <w:color w:val="auto"/>
          <w:kern w:val="2"/>
          <w:sz w:val="32"/>
          <w:szCs w:val="20"/>
          <w:lang w:val="en-US" w:eastAsia="zh-CN" w:bidi="ar-SA"/>
        </w:rPr>
        <w:t>3、室内消火栓系统</w:t>
      </w:r>
    </w:p>
    <w:p w14:paraId="0192162E">
      <w:pPr>
        <w:pStyle w:val="2"/>
        <w:ind w:firstLine="640" w:firstLineChars="200"/>
        <w:rPr>
          <w:rFonts w:hint="eastAsia" w:ascii="Times New Roman" w:hAnsi="Times New Roman" w:eastAsia="仿宋_GB2312" w:cs="Times New Roman"/>
          <w:b w:val="0"/>
          <w:bCs/>
          <w:color w:val="auto"/>
          <w:kern w:val="2"/>
          <w:sz w:val="32"/>
          <w:szCs w:val="20"/>
          <w:lang w:val="en-US" w:eastAsia="zh-CN" w:bidi="ar-SA"/>
        </w:rPr>
      </w:pPr>
      <w:r>
        <w:rPr>
          <w:rFonts w:hint="eastAsia" w:ascii="Times New Roman" w:hAnsi="Times New Roman" w:eastAsia="仿宋_GB2312" w:cs="Times New Roman"/>
          <w:b w:val="0"/>
          <w:bCs/>
          <w:color w:val="auto"/>
          <w:kern w:val="2"/>
          <w:sz w:val="32"/>
          <w:szCs w:val="20"/>
          <w:lang w:val="en-US" w:eastAsia="zh-CN" w:bidi="ar-SA"/>
        </w:rPr>
        <w:t>3.1检查室内消火栓的安装、组件、规格及其间距等；</w:t>
      </w:r>
    </w:p>
    <w:p w14:paraId="479E4B39">
      <w:pPr>
        <w:pStyle w:val="2"/>
        <w:ind w:firstLine="640" w:firstLineChars="200"/>
        <w:rPr>
          <w:rFonts w:hint="eastAsia" w:ascii="Times New Roman" w:hAnsi="Times New Roman" w:eastAsia="仿宋_GB2312" w:cs="Times New Roman"/>
          <w:b w:val="0"/>
          <w:bCs/>
          <w:color w:val="auto"/>
          <w:kern w:val="2"/>
          <w:sz w:val="32"/>
          <w:szCs w:val="20"/>
          <w:lang w:val="en-US" w:eastAsia="zh-CN" w:bidi="ar-SA"/>
        </w:rPr>
      </w:pPr>
      <w:r>
        <w:rPr>
          <w:rFonts w:hint="eastAsia" w:ascii="Times New Roman" w:hAnsi="Times New Roman" w:eastAsia="仿宋_GB2312" w:cs="Times New Roman"/>
          <w:b w:val="0"/>
          <w:bCs/>
          <w:color w:val="auto"/>
          <w:kern w:val="2"/>
          <w:sz w:val="32"/>
          <w:szCs w:val="20"/>
          <w:lang w:val="en-US" w:eastAsia="zh-CN" w:bidi="ar-SA"/>
        </w:rPr>
        <w:t>3.2检测屋顶消火栓的设置、防冻措施及其充实水柱长度等；</w:t>
      </w:r>
    </w:p>
    <w:p w14:paraId="7940D4F6">
      <w:pPr>
        <w:pStyle w:val="2"/>
        <w:ind w:firstLine="640" w:firstLineChars="200"/>
        <w:rPr>
          <w:rFonts w:hint="eastAsia" w:ascii="Times New Roman" w:hAnsi="Times New Roman" w:eastAsia="仿宋_GB2312" w:cs="Times New Roman"/>
          <w:b w:val="0"/>
          <w:bCs/>
          <w:color w:val="auto"/>
          <w:kern w:val="2"/>
          <w:sz w:val="32"/>
          <w:szCs w:val="20"/>
          <w:lang w:val="en-US" w:eastAsia="zh-CN" w:bidi="ar-SA"/>
        </w:rPr>
      </w:pPr>
      <w:r>
        <w:rPr>
          <w:rFonts w:hint="eastAsia" w:ascii="Times New Roman" w:hAnsi="Times New Roman" w:eastAsia="仿宋_GB2312" w:cs="Times New Roman"/>
          <w:b w:val="0"/>
          <w:bCs/>
          <w:color w:val="auto"/>
          <w:kern w:val="2"/>
          <w:sz w:val="32"/>
          <w:szCs w:val="20"/>
          <w:lang w:val="en-US" w:eastAsia="zh-CN" w:bidi="ar-SA"/>
        </w:rPr>
        <w:t>3.3检查室内消火栓管网的设置、管径、颜色、保证消防用水及其连接形状；</w:t>
      </w:r>
    </w:p>
    <w:p w14:paraId="21E9FCA0">
      <w:pPr>
        <w:pStyle w:val="2"/>
        <w:ind w:firstLine="640" w:firstLineChars="200"/>
        <w:rPr>
          <w:rFonts w:hint="eastAsia" w:ascii="Times New Roman" w:hAnsi="Times New Roman" w:eastAsia="仿宋_GB2312" w:cs="Times New Roman"/>
          <w:b w:val="0"/>
          <w:bCs/>
          <w:color w:val="auto"/>
          <w:kern w:val="2"/>
          <w:sz w:val="32"/>
          <w:szCs w:val="20"/>
          <w:lang w:val="en-US" w:eastAsia="zh-CN" w:bidi="ar-SA"/>
        </w:rPr>
      </w:pPr>
      <w:r>
        <w:rPr>
          <w:rFonts w:hint="eastAsia" w:ascii="Times New Roman" w:hAnsi="Times New Roman" w:eastAsia="仿宋_GB2312" w:cs="Times New Roman"/>
          <w:b w:val="0"/>
          <w:bCs/>
          <w:color w:val="auto"/>
          <w:kern w:val="2"/>
          <w:sz w:val="32"/>
          <w:szCs w:val="20"/>
          <w:lang w:val="en-US" w:eastAsia="zh-CN" w:bidi="ar-SA"/>
        </w:rPr>
        <w:t>3.4检测室内消火栓的首层和最不利点的静压、动压及其充实水柱长度；</w:t>
      </w:r>
    </w:p>
    <w:p w14:paraId="1A0FA104">
      <w:pPr>
        <w:pStyle w:val="2"/>
        <w:ind w:firstLine="640" w:firstLineChars="200"/>
        <w:rPr>
          <w:rFonts w:hint="eastAsia" w:ascii="Times New Roman" w:hAnsi="Times New Roman" w:eastAsia="仿宋_GB2312" w:cs="Times New Roman"/>
          <w:b w:val="0"/>
          <w:bCs/>
          <w:color w:val="auto"/>
          <w:kern w:val="2"/>
          <w:sz w:val="32"/>
          <w:szCs w:val="20"/>
          <w:lang w:val="en-US" w:eastAsia="zh-CN" w:bidi="ar-SA"/>
        </w:rPr>
      </w:pPr>
      <w:r>
        <w:rPr>
          <w:rFonts w:hint="eastAsia" w:ascii="Times New Roman" w:hAnsi="Times New Roman" w:eastAsia="仿宋_GB2312" w:cs="Times New Roman"/>
          <w:b w:val="0"/>
          <w:bCs/>
          <w:color w:val="auto"/>
          <w:kern w:val="2"/>
          <w:sz w:val="32"/>
          <w:szCs w:val="20"/>
          <w:lang w:val="en-US" w:eastAsia="zh-CN" w:bidi="ar-SA"/>
        </w:rPr>
        <w:t>3.5检查手动启泵按钮的设置及其功能。</w:t>
      </w:r>
    </w:p>
    <w:p w14:paraId="3930115D">
      <w:pPr>
        <w:pStyle w:val="2"/>
        <w:ind w:firstLine="640" w:firstLineChars="200"/>
        <w:rPr>
          <w:rFonts w:hint="eastAsia" w:ascii="Times New Roman" w:hAnsi="Times New Roman" w:eastAsia="仿宋_GB2312" w:cs="Times New Roman"/>
          <w:b w:val="0"/>
          <w:bCs/>
          <w:color w:val="auto"/>
          <w:kern w:val="2"/>
          <w:sz w:val="32"/>
          <w:szCs w:val="20"/>
          <w:lang w:val="en-US" w:eastAsia="zh-CN" w:bidi="ar-SA"/>
        </w:rPr>
      </w:pPr>
      <w:r>
        <w:rPr>
          <w:rFonts w:hint="eastAsia" w:ascii="Times New Roman" w:hAnsi="Times New Roman" w:eastAsia="仿宋_GB2312" w:cs="Times New Roman"/>
          <w:b w:val="0"/>
          <w:bCs/>
          <w:color w:val="auto"/>
          <w:kern w:val="2"/>
          <w:sz w:val="32"/>
          <w:szCs w:val="20"/>
          <w:lang w:val="en-US" w:eastAsia="zh-CN" w:bidi="ar-SA"/>
        </w:rPr>
        <w:t>4、自动喷水灭火系统</w:t>
      </w:r>
    </w:p>
    <w:p w14:paraId="5E48585D">
      <w:pPr>
        <w:pStyle w:val="2"/>
        <w:ind w:firstLine="640" w:firstLineChars="200"/>
        <w:rPr>
          <w:rFonts w:hint="eastAsia" w:ascii="Times New Roman" w:hAnsi="Times New Roman" w:eastAsia="仿宋_GB2312" w:cs="Times New Roman"/>
          <w:b w:val="0"/>
          <w:bCs/>
          <w:color w:val="auto"/>
          <w:kern w:val="2"/>
          <w:sz w:val="32"/>
          <w:szCs w:val="20"/>
          <w:lang w:val="en-US" w:eastAsia="zh-CN" w:bidi="ar-SA"/>
        </w:rPr>
      </w:pPr>
      <w:r>
        <w:rPr>
          <w:rFonts w:hint="eastAsia" w:ascii="Times New Roman" w:hAnsi="Times New Roman" w:eastAsia="仿宋_GB2312" w:cs="Times New Roman"/>
          <w:b w:val="0"/>
          <w:bCs/>
          <w:color w:val="auto"/>
          <w:kern w:val="2"/>
          <w:sz w:val="32"/>
          <w:szCs w:val="20"/>
          <w:lang w:val="en-US" w:eastAsia="zh-CN" w:bidi="ar-SA"/>
        </w:rPr>
        <w:t>4.1检查管网的安装、连接、设置喷头数量及末端管径等；</w:t>
      </w:r>
    </w:p>
    <w:p w14:paraId="5795F51E">
      <w:pPr>
        <w:pStyle w:val="2"/>
        <w:ind w:firstLine="640" w:firstLineChars="200"/>
        <w:rPr>
          <w:rFonts w:hint="eastAsia" w:ascii="Times New Roman" w:hAnsi="Times New Roman" w:eastAsia="仿宋_GB2312" w:cs="Times New Roman"/>
          <w:b w:val="0"/>
          <w:bCs/>
          <w:color w:val="auto"/>
          <w:kern w:val="2"/>
          <w:sz w:val="32"/>
          <w:szCs w:val="20"/>
          <w:lang w:val="en-US" w:eastAsia="zh-CN" w:bidi="ar-SA"/>
        </w:rPr>
      </w:pPr>
      <w:r>
        <w:rPr>
          <w:rFonts w:hint="eastAsia" w:ascii="Times New Roman" w:hAnsi="Times New Roman" w:eastAsia="仿宋_GB2312" w:cs="Times New Roman"/>
          <w:b w:val="0"/>
          <w:bCs/>
          <w:color w:val="auto"/>
          <w:kern w:val="2"/>
          <w:sz w:val="32"/>
          <w:szCs w:val="20"/>
          <w:lang w:val="en-US" w:eastAsia="zh-CN" w:bidi="ar-SA"/>
        </w:rPr>
        <w:t>4.2检查水流指示器和信号阀的安装及其功能；</w:t>
      </w:r>
    </w:p>
    <w:p w14:paraId="115D67A6">
      <w:pPr>
        <w:pStyle w:val="2"/>
        <w:ind w:firstLine="640" w:firstLineChars="200"/>
        <w:rPr>
          <w:rFonts w:hint="eastAsia" w:ascii="Times New Roman" w:hAnsi="Times New Roman" w:eastAsia="仿宋_GB2312" w:cs="Times New Roman"/>
          <w:b w:val="0"/>
          <w:bCs/>
          <w:color w:val="auto"/>
          <w:kern w:val="2"/>
          <w:sz w:val="32"/>
          <w:szCs w:val="20"/>
          <w:lang w:val="en-US" w:eastAsia="zh-CN" w:bidi="ar-SA"/>
        </w:rPr>
      </w:pPr>
      <w:r>
        <w:rPr>
          <w:rFonts w:hint="eastAsia" w:ascii="Times New Roman" w:hAnsi="Times New Roman" w:eastAsia="仿宋_GB2312" w:cs="Times New Roman"/>
          <w:b w:val="0"/>
          <w:bCs/>
          <w:color w:val="auto"/>
          <w:kern w:val="2"/>
          <w:sz w:val="32"/>
          <w:szCs w:val="20"/>
          <w:lang w:val="en-US" w:eastAsia="zh-CN" w:bidi="ar-SA"/>
        </w:rPr>
        <w:t>4.3检测报警阀组的安装、阀门的状态、各组件及其功能；</w:t>
      </w:r>
    </w:p>
    <w:p w14:paraId="60D3F7AC">
      <w:pPr>
        <w:pStyle w:val="2"/>
        <w:ind w:firstLine="640" w:firstLineChars="200"/>
        <w:rPr>
          <w:rFonts w:hint="eastAsia" w:ascii="Times New Roman" w:hAnsi="Times New Roman" w:eastAsia="仿宋_GB2312" w:cs="Times New Roman"/>
          <w:b w:val="0"/>
          <w:bCs/>
          <w:color w:val="auto"/>
          <w:kern w:val="2"/>
          <w:sz w:val="32"/>
          <w:szCs w:val="20"/>
          <w:lang w:val="en-US" w:eastAsia="zh-CN" w:bidi="ar-SA"/>
        </w:rPr>
      </w:pPr>
      <w:r>
        <w:rPr>
          <w:rFonts w:hint="eastAsia" w:ascii="Times New Roman" w:hAnsi="Times New Roman" w:eastAsia="仿宋_GB2312" w:cs="Times New Roman"/>
          <w:b w:val="0"/>
          <w:bCs/>
          <w:color w:val="auto"/>
          <w:kern w:val="2"/>
          <w:sz w:val="32"/>
          <w:szCs w:val="20"/>
          <w:lang w:val="en-US" w:eastAsia="zh-CN" w:bidi="ar-SA"/>
        </w:rPr>
        <w:t>4.4检测喷淋头安装、外观、保护间距和保护面积及与邻近障碍物的距离等；</w:t>
      </w:r>
    </w:p>
    <w:p w14:paraId="3CED43EE">
      <w:pPr>
        <w:pStyle w:val="2"/>
        <w:ind w:firstLine="640" w:firstLineChars="200"/>
        <w:rPr>
          <w:rFonts w:hint="eastAsia" w:ascii="Times New Roman" w:hAnsi="Times New Roman" w:eastAsia="仿宋_GB2312" w:cs="Times New Roman"/>
          <w:b w:val="0"/>
          <w:bCs/>
          <w:color w:val="auto"/>
          <w:kern w:val="2"/>
          <w:sz w:val="32"/>
          <w:szCs w:val="20"/>
          <w:lang w:val="en-US" w:eastAsia="zh-CN" w:bidi="ar-SA"/>
        </w:rPr>
      </w:pPr>
      <w:r>
        <w:rPr>
          <w:rFonts w:hint="eastAsia" w:ascii="Times New Roman" w:hAnsi="Times New Roman" w:eastAsia="仿宋_GB2312" w:cs="Times New Roman"/>
          <w:b w:val="0"/>
          <w:bCs/>
          <w:color w:val="auto"/>
          <w:kern w:val="2"/>
          <w:sz w:val="32"/>
          <w:szCs w:val="20"/>
          <w:lang w:val="en-US" w:eastAsia="zh-CN" w:bidi="ar-SA"/>
        </w:rPr>
        <w:t>4.5对报警阀组进行功能试验；</w:t>
      </w:r>
    </w:p>
    <w:p w14:paraId="25799569">
      <w:pPr>
        <w:pStyle w:val="2"/>
        <w:ind w:firstLine="640" w:firstLineChars="200"/>
        <w:rPr>
          <w:rFonts w:hint="eastAsia" w:ascii="Times New Roman" w:hAnsi="Times New Roman" w:eastAsia="仿宋_GB2312" w:cs="Times New Roman"/>
          <w:b w:val="0"/>
          <w:bCs/>
          <w:color w:val="auto"/>
          <w:kern w:val="2"/>
          <w:sz w:val="32"/>
          <w:szCs w:val="20"/>
          <w:lang w:val="en-US" w:eastAsia="zh-CN" w:bidi="ar-SA"/>
        </w:rPr>
      </w:pPr>
      <w:r>
        <w:rPr>
          <w:rFonts w:hint="eastAsia" w:ascii="Times New Roman" w:hAnsi="Times New Roman" w:eastAsia="仿宋_GB2312" w:cs="Times New Roman"/>
          <w:b w:val="0"/>
          <w:bCs/>
          <w:color w:val="auto"/>
          <w:kern w:val="2"/>
          <w:sz w:val="32"/>
          <w:szCs w:val="20"/>
          <w:lang w:val="en-US" w:eastAsia="zh-CN" w:bidi="ar-SA"/>
        </w:rPr>
        <w:t>4.6对自动喷淋水（雾）系统进行功能试验。</w:t>
      </w:r>
    </w:p>
    <w:p w14:paraId="4928C4CF">
      <w:pPr>
        <w:pStyle w:val="2"/>
        <w:ind w:firstLine="640" w:firstLineChars="200"/>
        <w:rPr>
          <w:rFonts w:hint="eastAsia" w:ascii="Times New Roman" w:hAnsi="Times New Roman" w:eastAsia="仿宋_GB2312" w:cs="Times New Roman"/>
          <w:b w:val="0"/>
          <w:bCs/>
          <w:color w:val="auto"/>
          <w:kern w:val="2"/>
          <w:sz w:val="32"/>
          <w:szCs w:val="20"/>
          <w:lang w:val="en-US" w:eastAsia="zh-CN" w:bidi="ar-SA"/>
        </w:rPr>
      </w:pPr>
      <w:r>
        <w:rPr>
          <w:rFonts w:hint="eastAsia" w:ascii="Times New Roman" w:hAnsi="Times New Roman" w:eastAsia="仿宋_GB2312" w:cs="Times New Roman"/>
          <w:b w:val="0"/>
          <w:bCs/>
          <w:color w:val="auto"/>
          <w:kern w:val="2"/>
          <w:sz w:val="32"/>
          <w:szCs w:val="20"/>
          <w:lang w:val="en-US" w:eastAsia="zh-CN" w:bidi="ar-SA"/>
        </w:rPr>
        <w:t>5、防排烟及通风空调系统</w:t>
      </w:r>
    </w:p>
    <w:p w14:paraId="7D17E5E3">
      <w:pPr>
        <w:pStyle w:val="2"/>
        <w:ind w:firstLine="640" w:firstLineChars="200"/>
        <w:rPr>
          <w:rFonts w:hint="eastAsia" w:ascii="Times New Roman" w:hAnsi="Times New Roman" w:eastAsia="仿宋_GB2312" w:cs="Times New Roman"/>
          <w:b w:val="0"/>
          <w:bCs/>
          <w:color w:val="auto"/>
          <w:kern w:val="2"/>
          <w:sz w:val="32"/>
          <w:szCs w:val="20"/>
          <w:lang w:val="en-US" w:eastAsia="zh-CN" w:bidi="ar-SA"/>
        </w:rPr>
      </w:pPr>
      <w:r>
        <w:rPr>
          <w:rFonts w:hint="eastAsia" w:ascii="Times New Roman" w:hAnsi="Times New Roman" w:eastAsia="仿宋_GB2312" w:cs="Times New Roman"/>
          <w:b w:val="0"/>
          <w:bCs/>
          <w:color w:val="auto"/>
          <w:kern w:val="2"/>
          <w:sz w:val="32"/>
          <w:szCs w:val="20"/>
          <w:lang w:val="en-US" w:eastAsia="zh-CN" w:bidi="ar-SA"/>
        </w:rPr>
        <w:t>5.1检查正压送风系统的风管、风机、送风口设置状况并测量其风速和正压送风值；</w:t>
      </w:r>
    </w:p>
    <w:p w14:paraId="558AD62E">
      <w:pPr>
        <w:pStyle w:val="2"/>
        <w:ind w:firstLine="640" w:firstLineChars="200"/>
        <w:rPr>
          <w:rFonts w:hint="eastAsia" w:ascii="Times New Roman" w:hAnsi="Times New Roman" w:eastAsia="仿宋_GB2312" w:cs="Times New Roman"/>
          <w:b w:val="0"/>
          <w:bCs/>
          <w:color w:val="auto"/>
          <w:kern w:val="2"/>
          <w:sz w:val="32"/>
          <w:szCs w:val="20"/>
          <w:lang w:val="en-US" w:eastAsia="zh-CN" w:bidi="ar-SA"/>
        </w:rPr>
      </w:pPr>
      <w:r>
        <w:rPr>
          <w:rFonts w:hint="eastAsia" w:ascii="Times New Roman" w:hAnsi="Times New Roman" w:eastAsia="仿宋_GB2312" w:cs="Times New Roman"/>
          <w:b w:val="0"/>
          <w:bCs/>
          <w:color w:val="auto"/>
          <w:kern w:val="2"/>
          <w:sz w:val="32"/>
          <w:szCs w:val="20"/>
          <w:lang w:val="en-US" w:eastAsia="zh-CN" w:bidi="ar-SA"/>
        </w:rPr>
        <w:t>5.2检测排烟系统风机、风道、防火阀、送风口、主备电源设置状况及其功能；</w:t>
      </w:r>
    </w:p>
    <w:p w14:paraId="2FAF327D">
      <w:pPr>
        <w:pStyle w:val="2"/>
        <w:ind w:firstLine="640" w:firstLineChars="200"/>
        <w:rPr>
          <w:rFonts w:hint="eastAsia" w:ascii="Times New Roman" w:hAnsi="Times New Roman" w:eastAsia="仿宋_GB2312" w:cs="Times New Roman"/>
          <w:b w:val="0"/>
          <w:bCs/>
          <w:color w:val="auto"/>
          <w:kern w:val="2"/>
          <w:sz w:val="32"/>
          <w:szCs w:val="20"/>
          <w:lang w:val="en-US" w:eastAsia="zh-CN" w:bidi="ar-SA"/>
        </w:rPr>
      </w:pPr>
      <w:r>
        <w:rPr>
          <w:rFonts w:hint="eastAsia" w:ascii="Times New Roman" w:hAnsi="Times New Roman" w:eastAsia="仿宋_GB2312" w:cs="Times New Roman"/>
          <w:b w:val="0"/>
          <w:bCs/>
          <w:color w:val="auto"/>
          <w:kern w:val="2"/>
          <w:sz w:val="32"/>
          <w:szCs w:val="20"/>
          <w:lang w:val="en-US" w:eastAsia="zh-CN" w:bidi="ar-SA"/>
        </w:rPr>
        <w:t>5.3检查通风空调系统的管道和防火阀的设置状况；</w:t>
      </w:r>
    </w:p>
    <w:p w14:paraId="64F35E3C">
      <w:pPr>
        <w:pStyle w:val="2"/>
        <w:ind w:firstLine="640" w:firstLineChars="200"/>
        <w:rPr>
          <w:rFonts w:hint="eastAsia" w:ascii="Times New Roman" w:hAnsi="Times New Roman" w:eastAsia="仿宋_GB2312" w:cs="Times New Roman"/>
          <w:b w:val="0"/>
          <w:bCs/>
          <w:color w:val="auto"/>
          <w:kern w:val="2"/>
          <w:sz w:val="32"/>
          <w:szCs w:val="20"/>
          <w:lang w:val="en-US" w:eastAsia="zh-CN" w:bidi="ar-SA"/>
        </w:rPr>
      </w:pPr>
      <w:r>
        <w:rPr>
          <w:rFonts w:hint="eastAsia" w:ascii="Times New Roman" w:hAnsi="Times New Roman" w:eastAsia="仿宋_GB2312" w:cs="Times New Roman"/>
          <w:b w:val="0"/>
          <w:bCs/>
          <w:color w:val="auto"/>
          <w:kern w:val="2"/>
          <w:sz w:val="32"/>
          <w:szCs w:val="20"/>
          <w:lang w:val="en-US" w:eastAsia="zh-CN" w:bidi="ar-SA"/>
        </w:rPr>
        <w:t>5.4对各个系统进行手动、自动及联动功能试验；</w:t>
      </w:r>
    </w:p>
    <w:p w14:paraId="7C1EB1C9">
      <w:pPr>
        <w:pStyle w:val="2"/>
        <w:ind w:firstLine="640" w:firstLineChars="200"/>
        <w:rPr>
          <w:rFonts w:hint="eastAsia" w:ascii="Times New Roman" w:hAnsi="Times New Roman" w:eastAsia="仿宋_GB2312" w:cs="Times New Roman"/>
          <w:b w:val="0"/>
          <w:bCs/>
          <w:color w:val="auto"/>
          <w:kern w:val="2"/>
          <w:sz w:val="32"/>
          <w:szCs w:val="20"/>
          <w:lang w:val="en-US" w:eastAsia="zh-CN" w:bidi="ar-SA"/>
        </w:rPr>
      </w:pPr>
      <w:r>
        <w:rPr>
          <w:rFonts w:hint="eastAsia" w:ascii="Times New Roman" w:hAnsi="Times New Roman" w:eastAsia="仿宋_GB2312" w:cs="Times New Roman"/>
          <w:b w:val="0"/>
          <w:bCs/>
          <w:color w:val="auto"/>
          <w:kern w:val="2"/>
          <w:sz w:val="32"/>
          <w:szCs w:val="20"/>
          <w:lang w:val="en-US" w:eastAsia="zh-CN" w:bidi="ar-SA"/>
        </w:rPr>
        <w:t>6、防火门、防火卷帘和挡烟垂壁</w:t>
      </w:r>
    </w:p>
    <w:p w14:paraId="0E614C8F">
      <w:pPr>
        <w:pStyle w:val="2"/>
        <w:ind w:firstLine="640" w:firstLineChars="200"/>
        <w:rPr>
          <w:rFonts w:hint="eastAsia" w:ascii="Times New Roman" w:hAnsi="Times New Roman" w:eastAsia="仿宋_GB2312" w:cs="Times New Roman"/>
          <w:b w:val="0"/>
          <w:bCs/>
          <w:color w:val="auto"/>
          <w:kern w:val="2"/>
          <w:sz w:val="32"/>
          <w:szCs w:val="20"/>
          <w:lang w:val="en-US" w:eastAsia="zh-CN" w:bidi="ar-SA"/>
        </w:rPr>
      </w:pPr>
      <w:r>
        <w:rPr>
          <w:rFonts w:hint="eastAsia" w:ascii="Times New Roman" w:hAnsi="Times New Roman" w:eastAsia="仿宋_GB2312" w:cs="Times New Roman"/>
          <w:b w:val="0"/>
          <w:bCs/>
          <w:color w:val="auto"/>
          <w:kern w:val="2"/>
          <w:sz w:val="32"/>
          <w:szCs w:val="20"/>
          <w:lang w:val="en-US" w:eastAsia="zh-CN" w:bidi="ar-SA"/>
        </w:rPr>
        <w:t>6.1对其外观、安装、传动机构、动作程序及其手动和联动功能进行检测。</w:t>
      </w:r>
    </w:p>
    <w:p w14:paraId="5759D63D">
      <w:pPr>
        <w:pStyle w:val="2"/>
        <w:ind w:firstLine="640" w:firstLineChars="200"/>
        <w:rPr>
          <w:rFonts w:hint="eastAsia" w:ascii="Times New Roman" w:hAnsi="Times New Roman" w:eastAsia="仿宋_GB2312" w:cs="Times New Roman"/>
          <w:b w:val="0"/>
          <w:bCs/>
          <w:color w:val="auto"/>
          <w:kern w:val="2"/>
          <w:sz w:val="32"/>
          <w:szCs w:val="20"/>
          <w:lang w:val="en-US" w:eastAsia="zh-CN" w:bidi="ar-SA"/>
        </w:rPr>
      </w:pPr>
      <w:r>
        <w:rPr>
          <w:rFonts w:hint="eastAsia" w:ascii="Times New Roman" w:hAnsi="Times New Roman" w:eastAsia="仿宋_GB2312" w:cs="Times New Roman"/>
          <w:b w:val="0"/>
          <w:bCs/>
          <w:color w:val="auto"/>
          <w:kern w:val="2"/>
          <w:sz w:val="32"/>
          <w:szCs w:val="20"/>
          <w:lang w:val="en-US" w:eastAsia="zh-CN" w:bidi="ar-SA"/>
        </w:rPr>
        <w:t>7、气体灭火系统</w:t>
      </w:r>
    </w:p>
    <w:p w14:paraId="1163167E">
      <w:pPr>
        <w:pStyle w:val="2"/>
        <w:ind w:firstLine="640" w:firstLineChars="200"/>
        <w:rPr>
          <w:rFonts w:hint="eastAsia" w:ascii="Times New Roman" w:hAnsi="Times New Roman" w:eastAsia="仿宋_GB2312" w:cs="Times New Roman"/>
          <w:b w:val="0"/>
          <w:bCs/>
          <w:color w:val="auto"/>
          <w:kern w:val="2"/>
          <w:sz w:val="32"/>
          <w:szCs w:val="20"/>
          <w:lang w:val="en-US" w:eastAsia="zh-CN" w:bidi="ar-SA"/>
        </w:rPr>
      </w:pPr>
      <w:r>
        <w:rPr>
          <w:rFonts w:hint="eastAsia" w:ascii="Times New Roman" w:hAnsi="Times New Roman" w:eastAsia="仿宋_GB2312" w:cs="Times New Roman"/>
          <w:b w:val="0"/>
          <w:bCs/>
          <w:color w:val="auto"/>
          <w:kern w:val="2"/>
          <w:sz w:val="32"/>
          <w:szCs w:val="20"/>
          <w:lang w:val="en-US" w:eastAsia="zh-CN" w:bidi="ar-SA"/>
        </w:rPr>
        <w:t>7.1检查气体灭火系统的贮瓶间的设备、组件、灭火剂输送管道、喷咀及防护区的设置和安装状况；</w:t>
      </w:r>
    </w:p>
    <w:p w14:paraId="59FC13B6">
      <w:pPr>
        <w:pStyle w:val="2"/>
        <w:ind w:firstLine="640" w:firstLineChars="200"/>
        <w:rPr>
          <w:rFonts w:hint="eastAsia" w:ascii="Times New Roman" w:hAnsi="Times New Roman" w:eastAsia="仿宋_GB2312" w:cs="Times New Roman"/>
          <w:b w:val="0"/>
          <w:bCs/>
          <w:color w:val="auto"/>
          <w:kern w:val="2"/>
          <w:sz w:val="32"/>
          <w:szCs w:val="20"/>
          <w:lang w:val="en-US" w:eastAsia="zh-CN" w:bidi="ar-SA"/>
        </w:rPr>
      </w:pPr>
      <w:r>
        <w:rPr>
          <w:rFonts w:hint="eastAsia" w:ascii="Times New Roman" w:hAnsi="Times New Roman" w:eastAsia="仿宋_GB2312" w:cs="Times New Roman"/>
          <w:b w:val="0"/>
          <w:bCs/>
          <w:color w:val="auto"/>
          <w:kern w:val="2"/>
          <w:sz w:val="32"/>
          <w:szCs w:val="20"/>
          <w:lang w:val="en-US" w:eastAsia="zh-CN" w:bidi="ar-SA"/>
        </w:rPr>
        <w:t>7.2对气体灭火系统模似联动试验、查看先发声、后发光的报警程序，查看切断火场电源、自动启动、延时启动量、防火阀和排风机、喷射过程、气体释放指示灯等的动作是否正常；</w:t>
      </w:r>
    </w:p>
    <w:p w14:paraId="1A1CF57E">
      <w:pPr>
        <w:pStyle w:val="2"/>
        <w:ind w:firstLine="640" w:firstLineChars="200"/>
        <w:rPr>
          <w:rFonts w:hint="eastAsia" w:ascii="Times New Roman" w:hAnsi="Times New Roman" w:eastAsia="仿宋_GB2312" w:cs="Times New Roman"/>
          <w:b w:val="0"/>
          <w:bCs/>
          <w:color w:val="auto"/>
          <w:kern w:val="2"/>
          <w:sz w:val="32"/>
          <w:szCs w:val="20"/>
          <w:lang w:val="en-US" w:eastAsia="zh-CN" w:bidi="ar-SA"/>
        </w:rPr>
      </w:pPr>
      <w:r>
        <w:rPr>
          <w:rFonts w:hint="eastAsia" w:ascii="Times New Roman" w:hAnsi="Times New Roman" w:eastAsia="仿宋_GB2312" w:cs="Times New Roman"/>
          <w:b w:val="0"/>
          <w:bCs/>
          <w:color w:val="auto"/>
          <w:kern w:val="2"/>
          <w:sz w:val="32"/>
          <w:szCs w:val="20"/>
          <w:lang w:val="en-US" w:eastAsia="zh-CN" w:bidi="ar-SA"/>
        </w:rPr>
        <w:t>8、除上述以外的其他消防设施。</w:t>
      </w:r>
    </w:p>
    <w:p w14:paraId="03984F2B">
      <w:pPr>
        <w:pStyle w:val="2"/>
        <w:ind w:firstLine="640" w:firstLineChars="200"/>
        <w:rPr>
          <w:rFonts w:hint="eastAsia" w:ascii="Times New Roman" w:hAnsi="Times New Roman" w:eastAsia="仿宋_GB2312" w:cs="Times New Roman"/>
          <w:b w:val="0"/>
          <w:bCs/>
          <w:color w:val="auto"/>
          <w:kern w:val="2"/>
          <w:sz w:val="32"/>
          <w:szCs w:val="32"/>
          <w:lang w:val="en-US" w:eastAsia="zh-CN" w:bidi="ar-SA"/>
        </w:rPr>
      </w:pPr>
      <w:r>
        <w:rPr>
          <w:rFonts w:hint="eastAsia" w:ascii="Times New Roman" w:hAnsi="Times New Roman" w:eastAsia="仿宋_GB2312" w:cs="Times New Roman"/>
          <w:b w:val="0"/>
          <w:bCs/>
          <w:color w:val="auto"/>
          <w:kern w:val="2"/>
          <w:sz w:val="32"/>
          <w:szCs w:val="20"/>
          <w:lang w:val="en-US" w:eastAsia="zh-CN" w:bidi="ar-SA"/>
        </w:rPr>
        <w:t>9、中标供应商在每年12月31日前委托第三方有资质的消防检测公司对整个维保内容进行年度检测，并出具消防管理部门认可的消防检测报告（</w:t>
      </w:r>
      <w:r>
        <w:rPr>
          <w:rFonts w:hint="eastAsia" w:ascii="Times New Roman" w:hAnsi="Times New Roman" w:eastAsia="仿宋_GB2312" w:cs="Times New Roman"/>
          <w:b w:val="0"/>
          <w:bCs/>
          <w:color w:val="auto"/>
          <w:kern w:val="2"/>
          <w:sz w:val="32"/>
          <w:szCs w:val="32"/>
          <w:lang w:val="en-US" w:eastAsia="zh-CN" w:bidi="ar-SA"/>
        </w:rPr>
        <w:t>一式3份)。</w:t>
      </w:r>
    </w:p>
    <w:p w14:paraId="3E10ECC0">
      <w:pPr>
        <w:pStyle w:val="2"/>
        <w:ind w:firstLine="643" w:firstLineChars="200"/>
        <w:rPr>
          <w:rFonts w:hint="eastAsia" w:ascii="Times New Roman" w:hAnsi="Times New Roman" w:eastAsia="仿宋_GB2312" w:cs="Times New Roman"/>
          <w:b/>
          <w:bCs w:val="0"/>
          <w:color w:val="auto"/>
          <w:sz w:val="32"/>
          <w:szCs w:val="32"/>
        </w:rPr>
      </w:pPr>
      <w:r>
        <w:rPr>
          <w:rFonts w:hint="eastAsia" w:ascii="Times New Roman" w:hAnsi="Times New Roman" w:eastAsia="仿宋_GB2312" w:cs="Times New Roman"/>
          <w:b/>
          <w:bCs w:val="0"/>
          <w:color w:val="auto"/>
          <w:sz w:val="32"/>
          <w:szCs w:val="32"/>
          <w:lang w:val="en-US" w:eastAsia="zh-CN"/>
        </w:rPr>
        <w:t>（五）维护标准</w:t>
      </w:r>
    </w:p>
    <w:p w14:paraId="4662C6DC">
      <w:pPr>
        <w:keepNext w:val="0"/>
        <w:keepLines w:val="0"/>
        <w:widowControl/>
        <w:suppressLineNumbers w:val="0"/>
        <w:ind w:firstLine="640" w:firstLineChars="200"/>
        <w:jc w:val="left"/>
        <w:rPr>
          <w:rFonts w:hint="eastAsia" w:ascii="Times New Roman" w:hAnsi="Times New Roman" w:eastAsia="仿宋_GB2312" w:cs="Times New Roman"/>
          <w:b w:val="0"/>
          <w:bCs/>
          <w:color w:val="auto"/>
          <w:kern w:val="2"/>
          <w:sz w:val="32"/>
          <w:szCs w:val="32"/>
          <w:lang w:val="en-US" w:eastAsia="zh-CN" w:bidi="ar-SA"/>
        </w:rPr>
      </w:pPr>
      <w:r>
        <w:rPr>
          <w:rFonts w:hint="eastAsia" w:ascii="Times New Roman" w:hAnsi="Times New Roman" w:eastAsia="仿宋_GB2312" w:cs="Times New Roman"/>
          <w:b w:val="0"/>
          <w:bCs/>
          <w:color w:val="auto"/>
          <w:kern w:val="2"/>
          <w:sz w:val="32"/>
          <w:szCs w:val="32"/>
          <w:lang w:val="en-US" w:eastAsia="zh-CN" w:bidi="ar-SA"/>
        </w:rPr>
        <w:t>1、保证系统正常工作。</w:t>
      </w:r>
    </w:p>
    <w:p w14:paraId="426C0A22">
      <w:pPr>
        <w:keepNext w:val="0"/>
        <w:keepLines w:val="0"/>
        <w:widowControl/>
        <w:suppressLineNumbers w:val="0"/>
        <w:ind w:firstLine="640" w:firstLineChars="200"/>
        <w:jc w:val="left"/>
        <w:rPr>
          <w:rFonts w:hint="eastAsia" w:ascii="Times New Roman" w:hAnsi="Times New Roman" w:eastAsia="仿宋_GB2312" w:cs="Times New Roman"/>
          <w:b w:val="0"/>
          <w:bCs/>
          <w:color w:val="auto"/>
          <w:kern w:val="2"/>
          <w:sz w:val="32"/>
          <w:szCs w:val="32"/>
          <w:lang w:val="en-US" w:eastAsia="zh-CN" w:bidi="ar-SA"/>
        </w:rPr>
      </w:pPr>
      <w:r>
        <w:rPr>
          <w:rFonts w:hint="eastAsia" w:ascii="Times New Roman" w:hAnsi="Times New Roman" w:eastAsia="仿宋_GB2312" w:cs="Times New Roman"/>
          <w:b w:val="0"/>
          <w:bCs/>
          <w:color w:val="auto"/>
          <w:kern w:val="2"/>
          <w:sz w:val="32"/>
          <w:szCs w:val="32"/>
          <w:lang w:val="en-US" w:eastAsia="zh-CN" w:bidi="ar-SA"/>
        </w:rPr>
        <w:t>2、维护质量必须满足现行消防规范的要求。</w:t>
      </w:r>
    </w:p>
    <w:p w14:paraId="29DF36F1">
      <w:pPr>
        <w:keepNext w:val="0"/>
        <w:keepLines w:val="0"/>
        <w:widowControl/>
        <w:suppressLineNumbers w:val="0"/>
        <w:ind w:firstLine="640" w:firstLineChars="200"/>
        <w:jc w:val="left"/>
        <w:rPr>
          <w:rFonts w:hint="eastAsia" w:ascii="Times New Roman" w:hAnsi="Times New Roman" w:eastAsia="仿宋_GB2312" w:cs="Times New Roman"/>
          <w:b w:val="0"/>
          <w:bCs/>
          <w:color w:val="auto"/>
          <w:kern w:val="2"/>
          <w:sz w:val="32"/>
          <w:szCs w:val="32"/>
          <w:lang w:val="en-US" w:eastAsia="zh-CN" w:bidi="ar-SA"/>
        </w:rPr>
      </w:pPr>
      <w:r>
        <w:rPr>
          <w:rFonts w:hint="eastAsia" w:ascii="Times New Roman" w:hAnsi="Times New Roman" w:eastAsia="仿宋_GB2312" w:cs="Times New Roman"/>
          <w:b w:val="0"/>
          <w:bCs/>
          <w:color w:val="auto"/>
          <w:kern w:val="2"/>
          <w:sz w:val="32"/>
          <w:szCs w:val="32"/>
          <w:lang w:val="en-US" w:eastAsia="zh-CN" w:bidi="ar-SA"/>
        </w:rPr>
        <w:t>3、设备发生故障，接收到故障信息或接到招标人通知30分钟内派人到达现场，2小时内检修解除故障。在确实没有配件的情况下应及时向招标方管理部门汇报，并采取有效的应急措施，防止出现安全事故。</w:t>
      </w:r>
    </w:p>
    <w:p w14:paraId="036A948B">
      <w:pPr>
        <w:pStyle w:val="2"/>
        <w:rPr>
          <w:rFonts w:hint="eastAsia"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b w:val="0"/>
          <w:bCs/>
          <w:color w:val="auto"/>
          <w:sz w:val="32"/>
          <w:szCs w:val="32"/>
          <w:lang w:val="en-US" w:eastAsia="zh-CN"/>
        </w:rPr>
        <w:t>4、设备配件及时更换（指末端设备配件，七项核心设备配件损坏另行采购更换。）</w:t>
      </w:r>
    </w:p>
    <w:p w14:paraId="0CC20022">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仿宋" w:cs="Times New Roman"/>
          <w:b/>
          <w:color w:val="auto"/>
          <w:sz w:val="32"/>
          <w:szCs w:val="32"/>
          <w:lang w:val="en-US" w:eastAsia="zh-CN"/>
        </w:rPr>
      </w:pPr>
      <w:r>
        <w:rPr>
          <w:rFonts w:hint="eastAsia" w:ascii="Times New Roman" w:hAnsi="Times New Roman" w:eastAsia="仿宋" w:cs="Times New Roman"/>
          <w:b/>
          <w:color w:val="auto"/>
          <w:sz w:val="32"/>
          <w:szCs w:val="32"/>
          <w:lang w:val="en-US" w:eastAsia="zh-CN"/>
        </w:rPr>
        <w:t>法律责任</w:t>
      </w:r>
    </w:p>
    <w:p w14:paraId="0335EDBC">
      <w:pPr>
        <w:keepNext w:val="0"/>
        <w:keepLines w:val="0"/>
        <w:widowControl/>
        <w:suppressLineNumbers w:val="0"/>
        <w:ind w:firstLine="640" w:firstLineChars="200"/>
        <w:jc w:val="left"/>
        <w:rPr>
          <w:rFonts w:hint="eastAsia" w:ascii="Times New Roman" w:hAnsi="Times New Roman" w:eastAsia="仿宋_GB2312" w:cs="Times New Roman"/>
          <w:color w:val="auto"/>
          <w:lang w:val="en-US" w:eastAsia="zh-CN"/>
        </w:rPr>
      </w:pPr>
      <w:r>
        <w:rPr>
          <w:rFonts w:hint="eastAsia" w:ascii="Times New Roman" w:hAnsi="Times New Roman" w:eastAsia="仿宋_GB2312" w:cs="Times New Roman"/>
          <w:b w:val="0"/>
          <w:bCs/>
          <w:color w:val="auto"/>
          <w:kern w:val="2"/>
          <w:sz w:val="32"/>
          <w:szCs w:val="32"/>
          <w:lang w:val="en-US" w:eastAsia="zh-CN" w:bidi="ar-SA"/>
        </w:rPr>
        <w:t>中标单位在对消防设施进行检查、调试、维修时应确保整个消防系统设备具备报警、联动、自动灭火等应有的消防功能，各项运行状态正常，整个消防系统时刻处于良好工作状态。如发生火灾，消防设备不能发挥应有的报警、灭火功能，消防维保单位应负全部责任。</w:t>
      </w:r>
    </w:p>
    <w:p w14:paraId="73E308CB">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仿宋" w:cs="Times New Roman"/>
          <w:b/>
          <w:color w:val="auto"/>
          <w:sz w:val="32"/>
          <w:szCs w:val="32"/>
          <w:lang w:val="en-US" w:eastAsia="zh-CN"/>
        </w:rPr>
      </w:pPr>
      <w:r>
        <w:rPr>
          <w:rFonts w:hint="eastAsia" w:ascii="Times New Roman" w:hAnsi="Times New Roman" w:eastAsia="仿宋" w:cs="Times New Roman"/>
          <w:b/>
          <w:color w:val="auto"/>
          <w:sz w:val="32"/>
          <w:szCs w:val="32"/>
          <w:lang w:val="en-US" w:eastAsia="zh-CN"/>
        </w:rPr>
        <w:t>报价要求</w:t>
      </w:r>
    </w:p>
    <w:p w14:paraId="30FC308D">
      <w:pPr>
        <w:keepNext w:val="0"/>
        <w:keepLines w:val="0"/>
        <w:widowControl/>
        <w:suppressLineNumbers w:val="0"/>
        <w:ind w:firstLine="640" w:firstLineChars="200"/>
        <w:jc w:val="left"/>
        <w:rPr>
          <w:rFonts w:hint="eastAsia" w:ascii="Times New Roman" w:hAnsi="Times New Roman" w:eastAsia="仿宋_GB2312" w:cs="Times New Roman"/>
          <w:b w:val="0"/>
          <w:bCs/>
          <w:color w:val="auto"/>
          <w:kern w:val="2"/>
          <w:sz w:val="32"/>
          <w:szCs w:val="32"/>
          <w:lang w:val="en-US" w:eastAsia="zh-CN" w:bidi="ar-SA"/>
        </w:rPr>
      </w:pPr>
      <w:r>
        <w:rPr>
          <w:rFonts w:hint="eastAsia" w:ascii="Times New Roman" w:hAnsi="Times New Roman" w:eastAsia="仿宋_GB2312" w:cs="Times New Roman"/>
          <w:b w:val="0"/>
          <w:bCs/>
          <w:color w:val="auto"/>
          <w:kern w:val="2"/>
          <w:sz w:val="32"/>
          <w:szCs w:val="32"/>
          <w:lang w:val="en-US" w:eastAsia="zh-CN" w:bidi="ar-SA"/>
        </w:rPr>
        <w:t>1.投标供应商的报价应包含所投服务、保险、税费、验收和验收后约定期限内免费维保服务等工作所发生的一切费用（包括维保配件的包装、运输、临时设施，维保人员的劳务费【符合国家规定的各项费用、综合考虑劳务市场人工工资涨价风险，津、补贴及夜班、加班费、节假费用等】、服装、工具，保险税金、人员交通、相关维护期内所发生的一切费用），投标报价不因任何因素而调整。</w:t>
      </w:r>
    </w:p>
    <w:p w14:paraId="4B7AAF2E">
      <w:pPr>
        <w:keepNext w:val="0"/>
        <w:keepLines w:val="0"/>
        <w:widowControl/>
        <w:suppressLineNumbers w:val="0"/>
        <w:ind w:firstLine="640" w:firstLineChars="200"/>
        <w:jc w:val="left"/>
        <w:rPr>
          <w:rFonts w:hint="eastAsia" w:ascii="Times New Roman" w:hAnsi="Times New Roman" w:eastAsia="仿宋_GB2312" w:cs="Times New Roman"/>
          <w:b w:val="0"/>
          <w:bCs/>
          <w:color w:val="auto"/>
          <w:kern w:val="2"/>
          <w:sz w:val="32"/>
          <w:szCs w:val="32"/>
          <w:lang w:val="en-US" w:eastAsia="zh-CN" w:bidi="ar-SA"/>
        </w:rPr>
      </w:pPr>
      <w:r>
        <w:rPr>
          <w:rFonts w:hint="eastAsia" w:ascii="Times New Roman" w:hAnsi="Times New Roman" w:eastAsia="仿宋_GB2312" w:cs="Times New Roman"/>
          <w:b w:val="0"/>
          <w:bCs/>
          <w:color w:val="auto"/>
          <w:kern w:val="2"/>
          <w:sz w:val="32"/>
          <w:szCs w:val="32"/>
          <w:lang w:val="en-US" w:eastAsia="zh-CN" w:bidi="ar-SA"/>
        </w:rPr>
        <w:t>2、中标方需配备一定数量的常备配件和材料。</w:t>
      </w:r>
    </w:p>
    <w:p w14:paraId="190E3381">
      <w:pPr>
        <w:keepNext w:val="0"/>
        <w:keepLines w:val="0"/>
        <w:widowControl/>
        <w:suppressLineNumbers w:val="0"/>
        <w:ind w:firstLine="640" w:firstLineChars="200"/>
        <w:jc w:val="left"/>
        <w:rPr>
          <w:rFonts w:hint="eastAsia" w:ascii="Times New Roman" w:hAnsi="Times New Roman" w:eastAsia="仿宋_GB2312" w:cs="Times New Roman"/>
          <w:b w:val="0"/>
          <w:bCs/>
          <w:color w:val="auto"/>
          <w:kern w:val="2"/>
          <w:sz w:val="32"/>
          <w:szCs w:val="32"/>
          <w:lang w:val="en-US" w:eastAsia="zh-CN" w:bidi="ar-SA"/>
        </w:rPr>
      </w:pPr>
      <w:r>
        <w:rPr>
          <w:rFonts w:hint="eastAsia" w:ascii="Times New Roman" w:hAnsi="Times New Roman" w:eastAsia="仿宋_GB2312" w:cs="Times New Roman"/>
          <w:b w:val="0"/>
          <w:bCs/>
          <w:color w:val="auto"/>
          <w:kern w:val="2"/>
          <w:sz w:val="32"/>
          <w:szCs w:val="32"/>
          <w:lang w:val="en-US" w:eastAsia="zh-CN" w:bidi="ar-SA"/>
        </w:rPr>
        <w:t>3、维保期满，中标供应商须保证所保养的设备完好，无故障并通过相关部门检查合格，经招标人验收后，交回招标人。</w:t>
      </w:r>
    </w:p>
    <w:p w14:paraId="60BB2E67">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仿宋" w:cs="Times New Roman"/>
          <w:b/>
          <w:color w:val="auto"/>
          <w:sz w:val="32"/>
          <w:szCs w:val="32"/>
          <w:lang w:val="en-US" w:eastAsia="zh-CN"/>
        </w:rPr>
      </w:pPr>
      <w:r>
        <w:rPr>
          <w:rFonts w:hint="eastAsia" w:ascii="Times New Roman" w:hAnsi="Times New Roman" w:eastAsia="仿宋" w:cs="Times New Roman"/>
          <w:b/>
          <w:color w:val="auto"/>
          <w:sz w:val="32"/>
          <w:szCs w:val="32"/>
          <w:lang w:val="en-US" w:eastAsia="zh-CN"/>
        </w:rPr>
        <w:t>维保期限及考核要求</w:t>
      </w:r>
    </w:p>
    <w:p w14:paraId="3691ADD3">
      <w:pPr>
        <w:keepNext w:val="0"/>
        <w:keepLines w:val="0"/>
        <w:widowControl/>
        <w:suppressLineNumbers w:val="0"/>
        <w:ind w:firstLine="640" w:firstLineChars="200"/>
        <w:jc w:val="left"/>
        <w:rPr>
          <w:rFonts w:hint="default" w:ascii="Times New Roman" w:hAnsi="Times New Roman" w:eastAsia="仿宋_GB2312" w:cs="Times New Roman"/>
          <w:b w:val="0"/>
          <w:bCs/>
          <w:color w:val="auto"/>
          <w:kern w:val="2"/>
          <w:sz w:val="32"/>
          <w:szCs w:val="32"/>
          <w:lang w:val="en-US" w:eastAsia="zh-CN" w:bidi="ar-SA"/>
        </w:rPr>
      </w:pPr>
      <w:r>
        <w:rPr>
          <w:rFonts w:hint="eastAsia" w:ascii="Times New Roman" w:hAnsi="Times New Roman" w:eastAsia="仿宋_GB2312" w:cs="Times New Roman"/>
          <w:b w:val="0"/>
          <w:bCs/>
          <w:color w:val="auto"/>
          <w:kern w:val="2"/>
          <w:sz w:val="32"/>
          <w:szCs w:val="32"/>
          <w:lang w:val="en-US" w:eastAsia="zh-CN" w:bidi="ar-SA"/>
        </w:rPr>
        <w:t>本合同期限为三年，采用1+1+1</w:t>
      </w:r>
      <w:bookmarkStart w:id="0" w:name="_GoBack"/>
      <w:bookmarkEnd w:id="0"/>
      <w:r>
        <w:rPr>
          <w:rFonts w:hint="eastAsia" w:ascii="Times New Roman" w:hAnsi="Times New Roman" w:eastAsia="仿宋_GB2312" w:cs="Times New Roman"/>
          <w:b w:val="0"/>
          <w:bCs/>
          <w:color w:val="auto"/>
          <w:kern w:val="2"/>
          <w:sz w:val="32"/>
          <w:szCs w:val="32"/>
          <w:lang w:val="en-US" w:eastAsia="zh-CN" w:bidi="ar-SA"/>
        </w:rPr>
        <w:t>模式。（即合同到期后，经采购人考核后，每次考核分数≤70分的，不续签下一年合同）</w:t>
      </w:r>
    </w:p>
    <w:p w14:paraId="798DFD73">
      <w:pPr>
        <w:pStyle w:val="2"/>
        <w:jc w:val="center"/>
        <w:rPr>
          <w:rFonts w:hint="eastAsia" w:ascii="Times New Roman" w:hAnsi="Times New Roman" w:eastAsia="仿宋_GB2312" w:cs="Times New Roman"/>
          <w:color w:val="auto"/>
          <w:kern w:val="0"/>
          <w:sz w:val="24"/>
          <w:szCs w:val="24"/>
          <w:lang w:val="en-US" w:eastAsia="zh-CN" w:bidi="ar"/>
        </w:rPr>
      </w:pPr>
    </w:p>
    <w:p w14:paraId="5C19F5F8">
      <w:pPr>
        <w:pStyle w:val="2"/>
        <w:rPr>
          <w:rFonts w:hint="eastAsia" w:ascii="Times New Roman" w:hAnsi="Times New Roman" w:eastAsia="仿宋_GB2312" w:cs="Times New Roman"/>
          <w:color w:val="auto"/>
          <w:sz w:val="21"/>
          <w:lang w:val="en-US" w:eastAsia="zh-CN"/>
        </w:rPr>
      </w:pPr>
    </w:p>
    <w:p w14:paraId="5E4682B0">
      <w:pPr>
        <w:pStyle w:val="2"/>
        <w:ind w:firstLine="602" w:firstLineChars="200"/>
        <w:rPr>
          <w:rFonts w:hint="eastAsia" w:ascii="Times New Roman" w:hAnsi="Times New Roman" w:eastAsia="仿宋_GB2312" w:cs="Times New Roman"/>
          <w:color w:val="auto"/>
          <w:sz w:val="30"/>
          <w:szCs w:val="30"/>
          <w:lang w:val="en-US" w:eastAsia="zh-CN"/>
        </w:rPr>
      </w:pPr>
      <w:r>
        <w:rPr>
          <w:rFonts w:hint="eastAsia" w:ascii="Times New Roman" w:hAnsi="Times New Roman" w:eastAsia="仿宋_GB2312" w:cs="Times New Roman"/>
          <w:color w:val="auto"/>
          <w:sz w:val="30"/>
          <w:szCs w:val="30"/>
          <w:lang w:val="en-US" w:eastAsia="zh-CN"/>
        </w:rPr>
        <w:t>部分商务要求：</w:t>
      </w:r>
    </w:p>
    <w:p w14:paraId="54C533D8">
      <w:pPr>
        <w:spacing w:line="560" w:lineRule="exact"/>
        <w:ind w:firstLine="643" w:firstLineChars="200"/>
        <w:rPr>
          <w:rFonts w:hint="eastAsia" w:ascii="Times New Roman" w:hAnsi="Times New Roman" w:eastAsia="仿宋_GB2312" w:cs="Times New Roman"/>
          <w:b/>
          <w:color w:val="auto"/>
          <w:sz w:val="32"/>
          <w:szCs w:val="32"/>
        </w:rPr>
      </w:pPr>
      <w:r>
        <w:rPr>
          <w:rFonts w:hint="eastAsia" w:ascii="Times New Roman" w:hAnsi="Times New Roman" w:eastAsia="仿宋_GB2312" w:cs="Times New Roman"/>
          <w:b/>
          <w:color w:val="auto"/>
          <w:sz w:val="32"/>
          <w:szCs w:val="32"/>
          <w:lang w:val="en-US" w:eastAsia="zh-CN"/>
        </w:rPr>
        <w:t>一</w:t>
      </w:r>
      <w:r>
        <w:rPr>
          <w:rFonts w:hint="eastAsia" w:ascii="Times New Roman" w:hAnsi="Times New Roman" w:eastAsia="仿宋_GB2312" w:cs="Times New Roman"/>
          <w:b/>
          <w:color w:val="auto"/>
          <w:sz w:val="32"/>
          <w:szCs w:val="32"/>
        </w:rPr>
        <w:t>、投标人资质要求：</w:t>
      </w:r>
    </w:p>
    <w:p w14:paraId="6032926A">
      <w:pPr>
        <w:spacing w:line="560" w:lineRule="exact"/>
        <w:ind w:firstLine="640" w:firstLineChars="200"/>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1、具有企业法人营业执照。经营范围包含消防维护和保养；需通过 “社会消防技术服务信息系统”（https://shhxf.119.gov.cn）登记，且登记类型</w:t>
      </w:r>
      <w:r>
        <w:rPr>
          <w:rFonts w:hint="eastAsia" w:ascii="Times New Roman" w:hAnsi="Times New Roman" w:eastAsia="仿宋_GB2312" w:cs="Times New Roman"/>
          <w:color w:val="auto"/>
          <w:sz w:val="32"/>
          <w:szCs w:val="32"/>
          <w:lang w:eastAsia="zh-CN"/>
        </w:rPr>
        <w:t>(或服务类型)</w:t>
      </w:r>
      <w:r>
        <w:rPr>
          <w:rFonts w:hint="eastAsia" w:ascii="Times New Roman" w:hAnsi="Times New Roman" w:eastAsia="仿宋_GB2312" w:cs="Times New Roman"/>
          <w:color w:val="auto"/>
          <w:sz w:val="32"/>
          <w:szCs w:val="32"/>
        </w:rPr>
        <w:t>包含“消防设施维护保养检测”。</w:t>
      </w:r>
    </w:p>
    <w:p w14:paraId="7DDA1136">
      <w:pPr>
        <w:spacing w:line="560" w:lineRule="exact"/>
        <w:ind w:firstLine="640" w:firstLineChars="200"/>
        <w:rPr>
          <w:rFonts w:hint="eastAsia" w:ascii="Times New Roman" w:hAnsi="Times New Roman" w:eastAsia="仿宋_GB2312" w:cs="Times New Roman"/>
          <w:color w:val="auto"/>
          <w:sz w:val="32"/>
          <w:szCs w:val="32"/>
        </w:rPr>
      </w:pPr>
      <w:r>
        <w:rPr>
          <w:rFonts w:hint="eastAsia" w:eastAsia="仿宋_GB2312" w:cs="Times New Roman"/>
          <w:color w:val="auto"/>
          <w:sz w:val="32"/>
          <w:szCs w:val="32"/>
          <w:lang w:val="en-US" w:eastAsia="zh-CN"/>
        </w:rPr>
        <w:t>2</w:t>
      </w:r>
      <w:r>
        <w:rPr>
          <w:rFonts w:hint="eastAsia" w:ascii="Times New Roman" w:hAnsi="Times New Roman" w:eastAsia="仿宋_GB2312" w:cs="Times New Roman"/>
          <w:color w:val="auto"/>
          <w:sz w:val="32"/>
          <w:szCs w:val="32"/>
        </w:rPr>
        <w:t>、具有税务登记证（若供应商提供了“三证合一”的新版营业执照，无需另行提供税务登记证）。</w:t>
      </w:r>
    </w:p>
    <w:p w14:paraId="6537DEC3">
      <w:pPr>
        <w:spacing w:line="560" w:lineRule="exact"/>
        <w:ind w:firstLine="640" w:firstLineChars="200"/>
        <w:rPr>
          <w:rFonts w:hint="eastAsia" w:ascii="Times New Roman" w:hAnsi="Times New Roman" w:eastAsia="仿宋_GB2312" w:cs="Times New Roman"/>
          <w:color w:val="auto"/>
          <w:sz w:val="32"/>
          <w:szCs w:val="32"/>
        </w:rPr>
      </w:pPr>
      <w:r>
        <w:rPr>
          <w:rFonts w:hint="eastAsia" w:eastAsia="仿宋_GB2312" w:cs="Times New Roman"/>
          <w:color w:val="auto"/>
          <w:sz w:val="32"/>
          <w:szCs w:val="32"/>
          <w:lang w:val="en-US" w:eastAsia="zh-CN"/>
        </w:rPr>
        <w:t>3</w:t>
      </w:r>
      <w:r>
        <w:rPr>
          <w:rFonts w:hint="eastAsia" w:ascii="Times New Roman" w:hAnsi="Times New Roman" w:eastAsia="仿宋_GB2312" w:cs="Times New Roman"/>
          <w:color w:val="auto"/>
          <w:sz w:val="32"/>
          <w:szCs w:val="32"/>
        </w:rPr>
        <w:t>、技术人员需持有《</w:t>
      </w:r>
      <w:r>
        <w:rPr>
          <w:rFonts w:hint="eastAsia" w:ascii="Times New Roman" w:hAnsi="Times New Roman" w:eastAsia="仿宋_GB2312" w:cs="Times New Roman"/>
          <w:color w:val="auto"/>
          <w:sz w:val="32"/>
          <w:szCs w:val="32"/>
          <w:lang w:val="en-US" w:eastAsia="zh-CN"/>
        </w:rPr>
        <w:t>中级（及以上）</w:t>
      </w:r>
      <w:r>
        <w:rPr>
          <w:rFonts w:hint="eastAsia" w:ascii="Times New Roman" w:hAnsi="Times New Roman" w:eastAsia="仿宋_GB2312" w:cs="Times New Roman"/>
          <w:color w:val="auto"/>
          <w:sz w:val="32"/>
          <w:szCs w:val="32"/>
        </w:rPr>
        <w:t>消防</w:t>
      </w:r>
      <w:r>
        <w:rPr>
          <w:rFonts w:hint="eastAsia" w:ascii="Times New Roman" w:hAnsi="Times New Roman" w:eastAsia="仿宋_GB2312" w:cs="Times New Roman"/>
          <w:color w:val="auto"/>
          <w:sz w:val="32"/>
          <w:szCs w:val="32"/>
          <w:lang w:val="en-US" w:eastAsia="zh-CN"/>
        </w:rPr>
        <w:t>设施</w:t>
      </w:r>
      <w:r>
        <w:rPr>
          <w:rFonts w:hint="eastAsia" w:ascii="Times New Roman" w:hAnsi="Times New Roman" w:eastAsia="仿宋_GB2312" w:cs="Times New Roman"/>
          <w:color w:val="auto"/>
          <w:sz w:val="32"/>
          <w:szCs w:val="32"/>
        </w:rPr>
        <w:t>操作</w:t>
      </w:r>
      <w:r>
        <w:rPr>
          <w:rFonts w:hint="eastAsia" w:ascii="Times New Roman" w:hAnsi="Times New Roman" w:eastAsia="仿宋_GB2312" w:cs="Times New Roman"/>
          <w:color w:val="auto"/>
          <w:sz w:val="32"/>
          <w:szCs w:val="32"/>
          <w:lang w:val="en-US" w:eastAsia="zh-CN"/>
        </w:rPr>
        <w:t>员（维保方向）</w:t>
      </w:r>
      <w:r>
        <w:rPr>
          <w:rFonts w:hint="eastAsia" w:ascii="Times New Roman" w:hAnsi="Times New Roman" w:eastAsia="仿宋_GB2312" w:cs="Times New Roman"/>
          <w:color w:val="auto"/>
          <w:sz w:val="32"/>
          <w:szCs w:val="32"/>
        </w:rPr>
        <w:t>证书》。</w:t>
      </w:r>
    </w:p>
    <w:p w14:paraId="5D35ED4F">
      <w:pPr>
        <w:spacing w:line="560" w:lineRule="exact"/>
        <w:ind w:firstLine="640" w:firstLineChars="200"/>
        <w:rPr>
          <w:rFonts w:hint="eastAsia" w:ascii="Times New Roman" w:hAnsi="Times New Roman" w:eastAsia="仿宋_GB2312" w:cs="Times New Roman"/>
          <w:color w:val="auto"/>
          <w:sz w:val="32"/>
          <w:szCs w:val="32"/>
        </w:rPr>
      </w:pPr>
      <w:r>
        <w:rPr>
          <w:rFonts w:hint="eastAsia" w:eastAsia="仿宋_GB2312" w:cs="Times New Roman"/>
          <w:color w:val="auto"/>
          <w:sz w:val="32"/>
          <w:szCs w:val="32"/>
          <w:lang w:val="en-US" w:eastAsia="zh-CN"/>
        </w:rPr>
        <w:t>4</w:t>
      </w:r>
      <w:r>
        <w:rPr>
          <w:rFonts w:hint="eastAsia" w:ascii="Times New Roman" w:hAnsi="Times New Roman" w:eastAsia="仿宋_GB2312" w:cs="Times New Roman"/>
          <w:color w:val="auto"/>
          <w:sz w:val="32"/>
          <w:szCs w:val="32"/>
        </w:rPr>
        <w:t>、法定代表人及被委托人身份证复印件。</w:t>
      </w:r>
    </w:p>
    <w:p w14:paraId="32D1B54A">
      <w:pPr>
        <w:spacing w:line="560" w:lineRule="exact"/>
        <w:ind w:firstLine="640" w:firstLineChars="200"/>
        <w:rPr>
          <w:rFonts w:hint="eastAsia" w:ascii="Times New Roman" w:hAnsi="Times New Roman" w:eastAsia="仿宋_GB2312" w:cs="Times New Roman"/>
          <w:color w:val="auto"/>
          <w:sz w:val="32"/>
          <w:szCs w:val="32"/>
        </w:rPr>
      </w:pPr>
      <w:r>
        <w:rPr>
          <w:rFonts w:hint="eastAsia" w:eastAsia="仿宋_GB2312" w:cs="Times New Roman"/>
          <w:color w:val="auto"/>
          <w:sz w:val="32"/>
          <w:szCs w:val="32"/>
          <w:lang w:val="en-US" w:eastAsia="zh-CN"/>
        </w:rPr>
        <w:t>5</w:t>
      </w:r>
      <w:r>
        <w:rPr>
          <w:rFonts w:hint="eastAsia" w:ascii="Times New Roman" w:hAnsi="Times New Roman" w:eastAsia="仿宋_GB2312" w:cs="Times New Roman"/>
          <w:color w:val="auto"/>
          <w:sz w:val="32"/>
          <w:szCs w:val="32"/>
        </w:rPr>
        <w:t>、法定代表人授权委托书（法定代表人递交投标文件参加投标的，无需此件）。</w:t>
      </w:r>
    </w:p>
    <w:p w14:paraId="5A5074FE">
      <w:pPr>
        <w:spacing w:line="560" w:lineRule="exact"/>
        <w:ind w:firstLine="640" w:firstLineChars="200"/>
        <w:rPr>
          <w:rFonts w:hint="eastAsia" w:ascii="Times New Roman" w:hAnsi="Times New Roman" w:eastAsia="仿宋_GB2312" w:cs="Times New Roman"/>
          <w:color w:val="auto"/>
          <w:sz w:val="32"/>
          <w:szCs w:val="32"/>
        </w:rPr>
      </w:pPr>
      <w:r>
        <w:rPr>
          <w:rFonts w:hint="eastAsia" w:eastAsia="仿宋_GB2312" w:cs="Times New Roman"/>
          <w:color w:val="auto"/>
          <w:sz w:val="32"/>
          <w:szCs w:val="32"/>
          <w:lang w:val="en-US" w:eastAsia="zh-CN"/>
        </w:rPr>
        <w:t>6</w:t>
      </w:r>
      <w:r>
        <w:rPr>
          <w:rFonts w:hint="eastAsia" w:ascii="Times New Roman" w:hAnsi="Times New Roman" w:eastAsia="仿宋_GB2312" w:cs="Times New Roman"/>
          <w:color w:val="auto"/>
          <w:sz w:val="32"/>
          <w:szCs w:val="32"/>
        </w:rPr>
        <w:t>、投标人必须独自完成竞标项目。</w:t>
      </w:r>
    </w:p>
    <w:p w14:paraId="41EE55BF">
      <w:pPr>
        <w:spacing w:line="560" w:lineRule="exact"/>
        <w:ind w:firstLine="643" w:firstLineChars="200"/>
        <w:rPr>
          <w:rFonts w:hint="eastAsia" w:ascii="Times New Roman" w:hAnsi="Times New Roman" w:eastAsia="仿宋_GB2312" w:cs="Times New Roman"/>
          <w:b/>
          <w:bCs w:val="0"/>
          <w:color w:val="auto"/>
          <w:sz w:val="32"/>
          <w:szCs w:val="32"/>
        </w:rPr>
      </w:pPr>
      <w:r>
        <w:rPr>
          <w:rFonts w:hint="eastAsia" w:ascii="Times New Roman" w:hAnsi="Times New Roman" w:eastAsia="仿宋_GB2312" w:cs="Times New Roman"/>
          <w:b/>
          <w:bCs w:val="0"/>
          <w:color w:val="auto"/>
          <w:sz w:val="32"/>
          <w:szCs w:val="32"/>
          <w:lang w:val="en-US" w:eastAsia="zh-CN"/>
        </w:rPr>
        <w:t>二</w:t>
      </w:r>
      <w:r>
        <w:rPr>
          <w:rFonts w:hint="eastAsia" w:ascii="Times New Roman" w:hAnsi="Times New Roman" w:eastAsia="仿宋_GB2312" w:cs="Times New Roman"/>
          <w:b/>
          <w:bCs w:val="0"/>
          <w:color w:val="auto"/>
          <w:sz w:val="32"/>
          <w:szCs w:val="32"/>
        </w:rPr>
        <w:t>、技术要求：</w:t>
      </w:r>
    </w:p>
    <w:p w14:paraId="3343466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1、依据工程维保特点及要求，配备满足维保工程项目要求的项目管理班子和技术人员定点值守并配备足够的设备。</w:t>
      </w:r>
    </w:p>
    <w:p w14:paraId="2320233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2、参与维保施工人员必须具有作业人员上岗证书，设专人进行现场监管。拆卸、搬迁和安装过程中，不得损坏其它公共设施及个人。财产，文明施工，工完场清。维保施工过程中，正确使用各种操作工具，确保维保施工人员和采购人相关工作人员的人身和财产的安全。</w:t>
      </w:r>
    </w:p>
    <w:p w14:paraId="2B6B813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3、维保施工过程中，必须设置必要的防护和警示标志</w:t>
      </w:r>
      <w:r>
        <w:rPr>
          <w:rFonts w:hint="eastAsia" w:ascii="Times New Roman" w:hAnsi="Times New Roman" w:eastAsia="仿宋_GB2312" w:cs="Times New Roman"/>
          <w:color w:val="auto"/>
          <w:sz w:val="32"/>
          <w:szCs w:val="32"/>
          <w:lang w:eastAsia="zh-CN"/>
        </w:rPr>
        <w:t>，</w:t>
      </w:r>
      <w:r>
        <w:rPr>
          <w:rFonts w:hint="eastAsia" w:ascii="Times New Roman" w:hAnsi="Times New Roman" w:eastAsia="仿宋_GB2312" w:cs="Times New Roman"/>
          <w:color w:val="auto"/>
          <w:sz w:val="32"/>
          <w:szCs w:val="32"/>
          <w:lang w:val="en-US" w:eastAsia="zh-CN"/>
        </w:rPr>
        <w:t>必要时办理安全许可资质</w:t>
      </w:r>
      <w:r>
        <w:rPr>
          <w:rFonts w:hint="eastAsia" w:ascii="Times New Roman" w:hAnsi="Times New Roman" w:eastAsia="仿宋_GB2312" w:cs="Times New Roman"/>
          <w:color w:val="auto"/>
          <w:sz w:val="32"/>
          <w:szCs w:val="32"/>
        </w:rPr>
        <w:t>。高空施工必需配戴安帽及安全带。因维保施工发生任何安全意外事故及违规造成医院相关工作人员的人身和财产损害和损失的。将由维保单位承担一切经济和法律责任。</w:t>
      </w:r>
    </w:p>
    <w:p w14:paraId="2A682F9D">
      <w:pPr>
        <w:spacing w:line="560" w:lineRule="exact"/>
        <w:ind w:firstLine="643" w:firstLineChars="200"/>
        <w:rPr>
          <w:rFonts w:hint="eastAsia" w:ascii="Times New Roman" w:hAnsi="Times New Roman" w:eastAsia="仿宋_GB2312" w:cs="Times New Roman"/>
          <w:b/>
          <w:color w:val="auto"/>
          <w:sz w:val="32"/>
          <w:szCs w:val="32"/>
        </w:rPr>
      </w:pPr>
    </w:p>
    <w:p w14:paraId="6F5F6C1D">
      <w:pPr>
        <w:spacing w:line="560" w:lineRule="exact"/>
        <w:ind w:firstLine="643" w:firstLineChars="200"/>
        <w:rPr>
          <w:rFonts w:hint="eastAsia" w:ascii="Times New Roman" w:hAnsi="Times New Roman" w:eastAsia="仿宋_GB2312" w:cs="Times New Roman"/>
          <w:b/>
          <w:color w:val="auto"/>
          <w:sz w:val="32"/>
          <w:szCs w:val="32"/>
        </w:rPr>
      </w:pPr>
      <w:r>
        <w:rPr>
          <w:rFonts w:hint="eastAsia" w:ascii="Times New Roman" w:hAnsi="Times New Roman" w:eastAsia="仿宋_GB2312" w:cs="Times New Roman"/>
          <w:b/>
          <w:color w:val="auto"/>
          <w:sz w:val="32"/>
          <w:szCs w:val="32"/>
          <w:lang w:val="en-US" w:eastAsia="zh-CN"/>
        </w:rPr>
        <w:t>三、</w:t>
      </w:r>
      <w:r>
        <w:rPr>
          <w:rFonts w:hint="eastAsia" w:ascii="Times New Roman" w:hAnsi="Times New Roman" w:eastAsia="仿宋_GB2312" w:cs="Times New Roman"/>
          <w:b/>
          <w:color w:val="auto"/>
          <w:sz w:val="32"/>
          <w:szCs w:val="32"/>
        </w:rPr>
        <w:t>预算、合同签订及付款方式：</w:t>
      </w:r>
    </w:p>
    <w:p w14:paraId="7EBDA694">
      <w:pPr>
        <w:spacing w:line="560" w:lineRule="exact"/>
        <w:ind w:firstLine="640" w:firstLineChars="200"/>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本次招标年预算资金为每年</w:t>
      </w:r>
      <w:r>
        <w:rPr>
          <w:rFonts w:hint="eastAsia" w:eastAsia="仿宋_GB2312" w:cs="Times New Roman"/>
          <w:color w:val="auto"/>
          <w:sz w:val="32"/>
          <w:szCs w:val="32"/>
          <w:lang w:val="en-US" w:eastAsia="zh-CN"/>
        </w:rPr>
        <w:t>29.6</w:t>
      </w:r>
      <w:r>
        <w:rPr>
          <w:rFonts w:hint="eastAsia" w:ascii="Times New Roman" w:hAnsi="Times New Roman" w:eastAsia="仿宋_GB2312" w:cs="Times New Roman"/>
          <w:color w:val="auto"/>
          <w:sz w:val="32"/>
          <w:szCs w:val="32"/>
        </w:rPr>
        <w:t>万元。服务期间，如因维保人的原因，给采购人造成不良社会影响或重大损失或其他违约条件发生时，采购人随时终止合同，一切损失由维保单位承担），投标总价超过预算视为无效投标。</w:t>
      </w:r>
    </w:p>
    <w:p w14:paraId="250828B9">
      <w:pPr>
        <w:numPr>
          <w:ilvl w:val="0"/>
          <w:numId w:val="2"/>
        </w:numPr>
        <w:spacing w:line="560" w:lineRule="exact"/>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投标报价包含（但不限于）以下内容：人工费、维保费、运输费、各种税金及与其他相关全部费用。</w:t>
      </w:r>
      <w:r>
        <w:rPr>
          <w:rFonts w:hint="eastAsia" w:ascii="Times New Roman" w:hAnsi="Times New Roman" w:eastAsia="仿宋_GB2312" w:cs="Times New Roman"/>
          <w:color w:val="auto"/>
          <w:sz w:val="32"/>
          <w:szCs w:val="32"/>
          <w:lang w:eastAsia="zh-CN"/>
        </w:rPr>
        <w:t>（</w:t>
      </w:r>
      <w:r>
        <w:rPr>
          <w:rFonts w:hint="eastAsia" w:ascii="Times New Roman" w:hAnsi="Times New Roman" w:eastAsia="仿宋_GB2312" w:cs="Times New Roman"/>
          <w:color w:val="auto"/>
          <w:sz w:val="32"/>
          <w:szCs w:val="32"/>
          <w:lang w:val="en-US" w:eastAsia="zh-CN"/>
        </w:rPr>
        <w:t>报价单见附件</w:t>
      </w:r>
      <w:r>
        <w:rPr>
          <w:rFonts w:hint="eastAsia" w:ascii="Times New Roman" w:hAnsi="Times New Roman" w:eastAsia="仿宋_GB2312" w:cs="Times New Roman"/>
          <w:color w:val="auto"/>
          <w:sz w:val="32"/>
          <w:szCs w:val="32"/>
          <w:lang w:eastAsia="zh-CN"/>
        </w:rPr>
        <w:t>）</w:t>
      </w:r>
    </w:p>
    <w:p w14:paraId="286C9FB8">
      <w:pPr>
        <w:numPr>
          <w:ilvl w:val="0"/>
          <w:numId w:val="2"/>
        </w:numPr>
        <w:spacing w:line="560" w:lineRule="exact"/>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付款：每</w:t>
      </w:r>
      <w:r>
        <w:rPr>
          <w:rFonts w:hint="eastAsia" w:eastAsia="仿宋_GB2312" w:cs="Times New Roman"/>
          <w:color w:val="auto"/>
          <w:sz w:val="32"/>
          <w:szCs w:val="32"/>
          <w:lang w:val="en-US" w:eastAsia="zh-CN"/>
        </w:rPr>
        <w:t>年</w:t>
      </w:r>
      <w:r>
        <w:rPr>
          <w:rFonts w:hint="eastAsia" w:ascii="Times New Roman" w:hAnsi="Times New Roman" w:eastAsia="仿宋_GB2312" w:cs="Times New Roman"/>
          <w:color w:val="auto"/>
          <w:sz w:val="32"/>
          <w:szCs w:val="32"/>
        </w:rPr>
        <w:t>支付一次</w:t>
      </w:r>
      <w:r>
        <w:rPr>
          <w:rFonts w:hint="eastAsia" w:ascii="Times New Roman" w:hAnsi="Times New Roman" w:eastAsia="仿宋_GB2312" w:cs="Times New Roman"/>
          <w:color w:val="auto"/>
          <w:sz w:val="32"/>
          <w:szCs w:val="32"/>
          <w:lang w:eastAsia="zh-CN"/>
        </w:rPr>
        <w:t>（凭</w:t>
      </w:r>
      <w:r>
        <w:rPr>
          <w:rFonts w:hint="eastAsia" w:eastAsia="仿宋_GB2312" w:cs="Times New Roman"/>
          <w:color w:val="auto"/>
          <w:sz w:val="32"/>
          <w:szCs w:val="32"/>
          <w:lang w:val="en-US" w:eastAsia="zh-CN"/>
        </w:rPr>
        <w:t>年</w:t>
      </w:r>
      <w:r>
        <w:rPr>
          <w:rFonts w:hint="eastAsia" w:ascii="Times New Roman" w:hAnsi="Times New Roman" w:eastAsia="仿宋_GB2312" w:cs="Times New Roman"/>
          <w:color w:val="auto"/>
          <w:sz w:val="32"/>
          <w:szCs w:val="32"/>
          <w:lang w:val="en-US" w:eastAsia="zh-CN"/>
        </w:rPr>
        <w:t>度考核结果付款）</w:t>
      </w:r>
      <w:r>
        <w:rPr>
          <w:rFonts w:hint="eastAsia" w:ascii="Times New Roman" w:hAnsi="Times New Roman" w:eastAsia="仿宋_GB2312" w:cs="Times New Roman"/>
          <w:color w:val="auto"/>
          <w:sz w:val="32"/>
          <w:szCs w:val="32"/>
        </w:rPr>
        <w:t>。</w:t>
      </w:r>
    </w:p>
    <w:p w14:paraId="0CDCED6F">
      <w:pPr>
        <w:numPr>
          <w:ilvl w:val="0"/>
          <w:numId w:val="2"/>
        </w:numPr>
        <w:spacing w:line="560" w:lineRule="exact"/>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进场时间：合同签订之日起3日内进场。</w:t>
      </w:r>
    </w:p>
    <w:p w14:paraId="1997058F">
      <w:pPr>
        <w:pStyle w:val="2"/>
        <w:rPr>
          <w:rFonts w:hint="eastAsia" w:ascii="Times New Roman" w:hAnsi="Times New Roman" w:eastAsia="仿宋_GB2312" w:cs="Times New Roman"/>
          <w:color w:val="auto"/>
          <w:sz w:val="32"/>
          <w:szCs w:val="32"/>
        </w:rPr>
      </w:pPr>
    </w:p>
    <w:p w14:paraId="6B3EDCEB">
      <w:pPr>
        <w:pStyle w:val="2"/>
        <w:rPr>
          <w:rFonts w:hint="eastAsia" w:ascii="Times New Roman" w:hAnsi="Times New Roman" w:eastAsia="仿宋_GB2312" w:cs="Times New Roman"/>
          <w:color w:val="auto"/>
          <w:sz w:val="32"/>
          <w:szCs w:val="32"/>
          <w:lang w:val="en-US" w:eastAsia="zh-CN"/>
        </w:rPr>
      </w:pPr>
    </w:p>
    <w:p w14:paraId="280A97A9">
      <w:pPr>
        <w:spacing w:line="560" w:lineRule="exact"/>
        <w:ind w:firstLine="643" w:firstLineChars="200"/>
        <w:rPr>
          <w:rFonts w:hint="eastAsia" w:ascii="Times New Roman" w:hAnsi="Times New Roman" w:eastAsia="仿宋_GB2312" w:cs="Times New Roman"/>
          <w:b/>
          <w:bCs/>
          <w:color w:val="auto"/>
          <w:sz w:val="32"/>
          <w:szCs w:val="32"/>
        </w:rPr>
      </w:pPr>
      <w:r>
        <w:rPr>
          <w:rFonts w:hint="eastAsia" w:ascii="Times New Roman" w:hAnsi="Times New Roman" w:eastAsia="仿宋_GB2312" w:cs="Times New Roman"/>
          <w:b/>
          <w:bCs/>
          <w:color w:val="auto"/>
          <w:sz w:val="32"/>
          <w:szCs w:val="32"/>
          <w:lang w:val="en-US" w:eastAsia="zh-CN"/>
        </w:rPr>
        <w:t>三、</w:t>
      </w:r>
      <w:r>
        <w:rPr>
          <w:rFonts w:hint="eastAsia" w:ascii="Times New Roman" w:hAnsi="Times New Roman" w:eastAsia="仿宋_GB2312" w:cs="Times New Roman"/>
          <w:b/>
          <w:bCs/>
          <w:color w:val="auto"/>
          <w:sz w:val="32"/>
          <w:szCs w:val="32"/>
        </w:rPr>
        <w:t>维保合同终止条款：</w:t>
      </w:r>
    </w:p>
    <w:p w14:paraId="4E35A847">
      <w:pPr>
        <w:spacing w:line="560" w:lineRule="exact"/>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1、在维保期间，如因未按规范进行维保，致火灾发生时消防设施不能正常使用而发生火势蔓延，将立即终止维保合同，维保单位必须承担相应责任，同时追究相关责任。</w:t>
      </w:r>
    </w:p>
    <w:p w14:paraId="234ECE54">
      <w:pPr>
        <w:spacing w:line="560" w:lineRule="exact"/>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2、如维保单位有欺诈、隐瞒等违背诚信条款的行为，维保合同立即终止，同时该维保单位的法人代表承办的其他公司不得再参与我院的任何招投标活动。</w:t>
      </w:r>
    </w:p>
    <w:p w14:paraId="287CCE10">
      <w:pPr>
        <w:spacing w:line="560" w:lineRule="exact"/>
        <w:ind w:firstLine="640"/>
        <w:rPr>
          <w:rFonts w:hint="eastAsia" w:ascii="Times New Roman" w:hAnsi="Times New Roman" w:eastAsia="仿宋_GB2312" w:cs="Times New Roman"/>
          <w:color w:val="auto"/>
          <w:sz w:val="32"/>
          <w:szCs w:val="32"/>
          <w:lang w:eastAsia="zh-CN"/>
        </w:rPr>
      </w:pPr>
      <w:r>
        <w:rPr>
          <w:rFonts w:hint="eastAsia" w:ascii="Times New Roman" w:hAnsi="Times New Roman" w:eastAsia="仿宋_GB2312" w:cs="Times New Roman"/>
          <w:color w:val="auto"/>
          <w:sz w:val="32"/>
          <w:szCs w:val="32"/>
        </w:rPr>
        <w:t>3、如医院对消防维保公司的年度考核评估不合格，医院有权单方面终止该维保合同</w:t>
      </w:r>
      <w:r>
        <w:rPr>
          <w:rFonts w:hint="eastAsia" w:ascii="Times New Roman" w:hAnsi="Times New Roman" w:eastAsia="仿宋_GB2312" w:cs="Times New Roman"/>
          <w:color w:val="auto"/>
          <w:sz w:val="32"/>
          <w:szCs w:val="32"/>
          <w:lang w:eastAsia="zh-CN"/>
        </w:rPr>
        <w:t>。</w:t>
      </w:r>
    </w:p>
    <w:p w14:paraId="76409402">
      <w:pPr>
        <w:pStyle w:val="2"/>
        <w:rPr>
          <w:rFonts w:hint="eastAsia" w:ascii="Times New Roman" w:hAnsi="Times New Roman" w:eastAsia="仿宋_GB2312" w:cs="Times New Roman"/>
          <w:color w:val="auto"/>
          <w:lang w:val="en-US" w:eastAsia="zh-CN"/>
        </w:rPr>
      </w:pPr>
    </w:p>
    <w:p w14:paraId="4EDBCBFE">
      <w:pPr>
        <w:pStyle w:val="2"/>
        <w:ind w:firstLine="640"/>
        <w:rPr>
          <w:rFonts w:hint="eastAsia" w:ascii="Times New Roman" w:hAnsi="Times New Roman" w:eastAsia="仿宋_GB2312" w:cs="Times New Roman"/>
          <w:color w:val="auto"/>
          <w:lang w:val="en-US" w:eastAsia="zh-CN"/>
        </w:rPr>
      </w:pPr>
    </w:p>
    <w:p w14:paraId="013B0954">
      <w:pPr>
        <w:pStyle w:val="2"/>
        <w:rPr>
          <w:rFonts w:hint="eastAsia" w:ascii="Times New Roman" w:hAnsi="Times New Roman" w:eastAsia="仿宋_GB2312" w:cs="Times New Roman"/>
          <w:b w:val="0"/>
          <w:bCs/>
          <w:color w:val="auto"/>
          <w:sz w:val="32"/>
          <w:szCs w:val="32"/>
          <w:lang w:val="en-US" w:eastAsia="zh-CN"/>
        </w:rPr>
      </w:pPr>
      <w:r>
        <w:rPr>
          <w:rFonts w:hint="eastAsia" w:ascii="Times New Roman" w:hAnsi="Times New Roman" w:eastAsia="仿宋_GB2312" w:cs="Times New Roman"/>
          <w:color w:val="auto"/>
          <w:lang w:val="en-US" w:eastAsia="zh-CN"/>
        </w:rPr>
        <w:t>附件：</w:t>
      </w:r>
    </w:p>
    <w:p w14:paraId="5579BB49">
      <w:pPr>
        <w:pStyle w:val="2"/>
        <w:widowControl w:val="0"/>
        <w:numPr>
          <w:ilvl w:val="0"/>
          <w:numId w:val="0"/>
        </w:numPr>
        <w:ind w:firstLine="960" w:firstLineChars="300"/>
        <w:jc w:val="left"/>
        <w:rPr>
          <w:rFonts w:hint="eastAsia" w:ascii="Times New Roman" w:hAnsi="Times New Roman" w:eastAsia="仿宋_GB2312" w:cs="Times New Roman"/>
          <w:b w:val="0"/>
          <w:bCs/>
          <w:color w:val="auto"/>
          <w:sz w:val="32"/>
          <w:szCs w:val="32"/>
          <w:lang w:val="en-US" w:eastAsia="zh-CN"/>
        </w:rPr>
        <w:sectPr>
          <w:footerReference r:id="rId3" w:type="default"/>
          <w:pgSz w:w="11910" w:h="16840"/>
          <w:pgMar w:top="1440" w:right="1800" w:bottom="1440" w:left="1800" w:header="0" w:footer="757" w:gutter="0"/>
          <w:pgBorders>
            <w:top w:val="none" w:sz="0" w:space="0"/>
            <w:left w:val="none" w:sz="0" w:space="0"/>
            <w:bottom w:val="none" w:sz="0" w:space="0"/>
            <w:right w:val="none" w:sz="0" w:space="0"/>
          </w:pgBorders>
          <w:cols w:space="720" w:num="1"/>
        </w:sectPr>
      </w:pPr>
      <w:r>
        <w:rPr>
          <w:rFonts w:hint="eastAsia" w:ascii="Times New Roman" w:hAnsi="Times New Roman" w:eastAsia="仿宋_GB2312" w:cs="Times New Roman"/>
          <w:b w:val="0"/>
          <w:bCs/>
          <w:color w:val="auto"/>
          <w:sz w:val="32"/>
          <w:szCs w:val="32"/>
          <w:lang w:val="en-US" w:eastAsia="zh-CN"/>
        </w:rPr>
        <w:t>1.</w:t>
      </w:r>
      <w:r>
        <w:rPr>
          <w:rFonts w:hint="eastAsia" w:ascii="Times New Roman" w:hAnsi="Times New Roman" w:eastAsia="仿宋_GB2312" w:cs="Times New Roman"/>
          <w:b w:val="0"/>
          <w:bCs/>
          <w:color w:val="auto"/>
          <w:sz w:val="32"/>
          <w:szCs w:val="32"/>
        </w:rPr>
        <w:t>消防工程维保服务</w:t>
      </w:r>
      <w:r>
        <w:rPr>
          <w:rFonts w:hint="eastAsia" w:ascii="Times New Roman" w:hAnsi="Times New Roman" w:eastAsia="仿宋_GB2312" w:cs="Times New Roman"/>
          <w:b w:val="0"/>
          <w:bCs/>
          <w:color w:val="auto"/>
          <w:sz w:val="32"/>
          <w:szCs w:val="32"/>
          <w:lang w:val="en-US" w:eastAsia="zh-CN"/>
        </w:rPr>
        <w:t>项目考核标准</w:t>
      </w:r>
    </w:p>
    <w:p w14:paraId="5D8C0A30">
      <w:pPr>
        <w:keepNext w:val="0"/>
        <w:keepLines w:val="0"/>
        <w:widowControl/>
        <w:suppressLineNumbers w:val="0"/>
        <w:jc w:val="left"/>
        <w:rPr>
          <w:rFonts w:hint="eastAsia" w:ascii="Times New Roman" w:hAnsi="Times New Roman" w:eastAsia="仿宋_GB2312" w:cs="Times New Roman"/>
          <w:color w:val="auto"/>
          <w:sz w:val="21"/>
          <w:lang w:val="en-US" w:eastAsia="zh-CN"/>
        </w:rPr>
      </w:pPr>
    </w:p>
    <w:p w14:paraId="3DCBE488">
      <w:pPr>
        <w:jc w:val="center"/>
        <w:rPr>
          <w:rFonts w:hint="eastAsia" w:ascii="Times New Roman" w:hAnsi="Times New Roman" w:eastAsia="仿宋_GB2312" w:cs="Times New Roman"/>
          <w:b/>
          <w:bCs/>
          <w:color w:val="auto"/>
          <w:sz w:val="44"/>
          <w:szCs w:val="44"/>
          <w:lang w:eastAsia="zh-CN"/>
        </w:rPr>
      </w:pPr>
      <w:r>
        <w:rPr>
          <w:rFonts w:hint="eastAsia" w:ascii="Times New Roman" w:hAnsi="Times New Roman" w:eastAsia="仿宋_GB2312" w:cs="Times New Roman"/>
          <w:b/>
          <w:bCs/>
          <w:color w:val="auto"/>
          <w:sz w:val="44"/>
          <w:szCs w:val="44"/>
          <w:lang w:eastAsia="zh-CN"/>
        </w:rPr>
        <w:t>市人民医院消防</w:t>
      </w:r>
      <w:r>
        <w:rPr>
          <w:rFonts w:hint="eastAsia" w:ascii="Times New Roman" w:hAnsi="Times New Roman" w:eastAsia="仿宋_GB2312" w:cs="Times New Roman"/>
          <w:b/>
          <w:bCs/>
          <w:color w:val="auto"/>
          <w:sz w:val="44"/>
          <w:szCs w:val="44"/>
          <w:lang w:val="en-US" w:eastAsia="zh-CN"/>
        </w:rPr>
        <w:t>维保</w:t>
      </w:r>
      <w:r>
        <w:rPr>
          <w:rFonts w:hint="eastAsia" w:ascii="Times New Roman" w:hAnsi="Times New Roman" w:eastAsia="仿宋_GB2312" w:cs="Times New Roman"/>
          <w:b/>
          <w:bCs/>
          <w:color w:val="auto"/>
          <w:sz w:val="44"/>
          <w:szCs w:val="44"/>
        </w:rPr>
        <w:t>考核管理办法</w:t>
      </w:r>
    </w:p>
    <w:p w14:paraId="61D9794F">
      <w:pPr>
        <w:spacing w:after="0" w:afterLines="0" w:line="540" w:lineRule="exact"/>
        <w:rPr>
          <w:rFonts w:hint="eastAsia" w:ascii="Times New Roman" w:hAnsi="Times New Roman" w:eastAsia="仿宋_GB2312" w:cs="Times New Roman"/>
          <w:color w:val="auto"/>
          <w:sz w:val="28"/>
          <w:szCs w:val="28"/>
          <w:lang w:val="en-US" w:eastAsia="zh-CN"/>
        </w:rPr>
      </w:pPr>
    </w:p>
    <w:p w14:paraId="2884E540">
      <w:pPr>
        <w:keepNext w:val="0"/>
        <w:keepLines w:val="0"/>
        <w:pageBreakBefore w:val="0"/>
        <w:widowControl w:val="0"/>
        <w:kinsoku/>
        <w:wordWrap/>
        <w:overflowPunct/>
        <w:topLinePunct w:val="0"/>
        <w:autoSpaceDE/>
        <w:autoSpaceDN/>
        <w:bidi w:val="0"/>
        <w:adjustRightInd/>
        <w:snapToGrid/>
        <w:spacing w:after="0" w:line="560" w:lineRule="exact"/>
        <w:ind w:left="0" w:firstLine="640" w:firstLineChars="200"/>
        <w:textAlignment w:val="auto"/>
        <w:rPr>
          <w:rFonts w:hint="eastAsia" w:ascii="Times New Roman" w:hAnsi="Times New Roman" w:eastAsia="仿宋_GB2312" w:cs="Times New Roman"/>
          <w:color w:val="auto"/>
          <w:sz w:val="32"/>
          <w:szCs w:val="32"/>
          <w:lang w:eastAsia="zh-CN"/>
        </w:rPr>
      </w:pPr>
      <w:r>
        <w:rPr>
          <w:rFonts w:hint="eastAsia" w:ascii="Times New Roman" w:hAnsi="Times New Roman" w:eastAsia="仿宋_GB2312" w:cs="Times New Roman"/>
          <w:color w:val="auto"/>
          <w:sz w:val="32"/>
          <w:szCs w:val="32"/>
          <w:lang w:eastAsia="zh-CN"/>
        </w:rPr>
        <w:t>为了加强对消防维保的监管，提高消防维保的质量和效率，保障消防设施器材正常使用，确保医院生命财产安全，制定本考核办法。</w:t>
      </w:r>
    </w:p>
    <w:p w14:paraId="4E80331A">
      <w:pPr>
        <w:keepNext w:val="0"/>
        <w:keepLines w:val="0"/>
        <w:pageBreakBefore w:val="0"/>
        <w:widowControl w:val="0"/>
        <w:kinsoku/>
        <w:wordWrap/>
        <w:overflowPunct/>
        <w:topLinePunct w:val="0"/>
        <w:autoSpaceDE/>
        <w:autoSpaceDN/>
        <w:bidi w:val="0"/>
        <w:adjustRightInd/>
        <w:snapToGrid/>
        <w:spacing w:after="0" w:line="560" w:lineRule="exact"/>
        <w:ind w:left="0" w:firstLine="643" w:firstLineChars="200"/>
        <w:textAlignment w:val="auto"/>
        <w:rPr>
          <w:rFonts w:hint="eastAsia" w:ascii="Times New Roman" w:hAnsi="Times New Roman" w:eastAsia="仿宋_GB2312" w:cs="Times New Roman"/>
          <w:b w:val="0"/>
          <w:bCs w:val="0"/>
          <w:color w:val="auto"/>
          <w:sz w:val="32"/>
          <w:szCs w:val="32"/>
        </w:rPr>
      </w:pPr>
      <w:r>
        <w:rPr>
          <w:rFonts w:hint="eastAsia" w:ascii="Times New Roman" w:hAnsi="Times New Roman" w:eastAsia="仿宋_GB2312" w:cs="Times New Roman"/>
          <w:b/>
          <w:bCs/>
          <w:color w:val="auto"/>
          <w:sz w:val="32"/>
          <w:szCs w:val="32"/>
          <w:lang w:eastAsia="zh-CN"/>
        </w:rPr>
        <w:t>一、</w:t>
      </w:r>
      <w:r>
        <w:rPr>
          <w:rFonts w:hint="eastAsia" w:ascii="Times New Roman" w:hAnsi="Times New Roman" w:eastAsia="仿宋_GB2312" w:cs="Times New Roman"/>
          <w:b w:val="0"/>
          <w:bCs w:val="0"/>
          <w:color w:val="auto"/>
          <w:sz w:val="32"/>
          <w:szCs w:val="32"/>
        </w:rPr>
        <w:t>考核组织</w:t>
      </w:r>
    </w:p>
    <w:p w14:paraId="1A7C8A24">
      <w:pPr>
        <w:keepNext w:val="0"/>
        <w:keepLines w:val="0"/>
        <w:pageBreakBefore w:val="0"/>
        <w:widowControl w:val="0"/>
        <w:kinsoku/>
        <w:wordWrap/>
        <w:overflowPunct/>
        <w:topLinePunct w:val="0"/>
        <w:autoSpaceDE/>
        <w:autoSpaceDN/>
        <w:bidi w:val="0"/>
        <w:adjustRightInd/>
        <w:snapToGrid/>
        <w:spacing w:after="0" w:line="560" w:lineRule="exact"/>
        <w:ind w:left="0" w:firstLine="640" w:firstLineChars="200"/>
        <w:textAlignment w:val="auto"/>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1、甲方成立考核管理小组，</w:t>
      </w:r>
      <w:r>
        <w:rPr>
          <w:rFonts w:hint="eastAsia" w:ascii="Times New Roman" w:hAnsi="Times New Roman" w:eastAsia="仿宋_GB2312" w:cs="Times New Roman"/>
          <w:color w:val="auto"/>
          <w:sz w:val="32"/>
          <w:szCs w:val="32"/>
          <w:lang w:eastAsia="zh-CN"/>
        </w:rPr>
        <w:t>由</w:t>
      </w:r>
      <w:r>
        <w:rPr>
          <w:rFonts w:hint="eastAsia" w:ascii="Times New Roman" w:hAnsi="Times New Roman" w:eastAsia="仿宋_GB2312" w:cs="Times New Roman"/>
          <w:color w:val="auto"/>
          <w:sz w:val="32"/>
          <w:szCs w:val="32"/>
          <w:lang w:val="en-US" w:eastAsia="zh-CN"/>
        </w:rPr>
        <w:t>服务监督管理办公室组织</w:t>
      </w:r>
      <w:r>
        <w:rPr>
          <w:rFonts w:hint="eastAsia" w:ascii="Times New Roman" w:hAnsi="Times New Roman" w:eastAsia="仿宋_GB2312" w:cs="Times New Roman"/>
          <w:color w:val="auto"/>
          <w:sz w:val="32"/>
          <w:szCs w:val="32"/>
        </w:rPr>
        <w:t>考核小组</w:t>
      </w:r>
      <w:r>
        <w:rPr>
          <w:rFonts w:hint="eastAsia" w:ascii="Times New Roman" w:hAnsi="Times New Roman" w:eastAsia="仿宋_GB2312" w:cs="Times New Roman"/>
          <w:color w:val="auto"/>
          <w:sz w:val="32"/>
          <w:szCs w:val="32"/>
          <w:lang w:eastAsia="zh-CN"/>
        </w:rPr>
        <w:t>对</w:t>
      </w:r>
      <w:r>
        <w:rPr>
          <w:rFonts w:hint="eastAsia" w:ascii="Times New Roman" w:hAnsi="Times New Roman" w:eastAsia="仿宋_GB2312" w:cs="Times New Roman"/>
          <w:color w:val="auto"/>
          <w:kern w:val="0"/>
          <w:sz w:val="32"/>
          <w:szCs w:val="32"/>
          <w:lang w:val="en-US" w:eastAsia="zh-CN"/>
        </w:rPr>
        <w:t>乙方服务质量</w:t>
      </w:r>
      <w:r>
        <w:rPr>
          <w:rFonts w:hint="eastAsia" w:ascii="Times New Roman" w:hAnsi="Times New Roman" w:eastAsia="仿宋_GB2312" w:cs="Times New Roman"/>
          <w:color w:val="auto"/>
          <w:sz w:val="32"/>
          <w:szCs w:val="32"/>
        </w:rPr>
        <w:t>进行全面考核</w:t>
      </w:r>
      <w:r>
        <w:rPr>
          <w:rFonts w:hint="eastAsia" w:ascii="Times New Roman" w:hAnsi="Times New Roman" w:eastAsia="仿宋_GB2312" w:cs="Times New Roman"/>
          <w:color w:val="auto"/>
          <w:sz w:val="32"/>
          <w:szCs w:val="32"/>
          <w:lang w:val="en-US" w:eastAsia="zh-CN"/>
        </w:rPr>
        <w:t>管理，</w:t>
      </w:r>
      <w:r>
        <w:rPr>
          <w:rFonts w:hint="eastAsia" w:ascii="Times New Roman" w:hAnsi="Times New Roman" w:eastAsia="仿宋_GB2312" w:cs="Times New Roman"/>
          <w:color w:val="auto"/>
          <w:kern w:val="0"/>
          <w:sz w:val="32"/>
          <w:szCs w:val="32"/>
          <w:lang w:val="en-US" w:eastAsia="zh-CN"/>
        </w:rPr>
        <w:t>乙方派住的消防维保人员要积极配合</w:t>
      </w:r>
      <w:r>
        <w:rPr>
          <w:rFonts w:hint="eastAsia" w:ascii="Times New Roman" w:hAnsi="Times New Roman" w:eastAsia="仿宋_GB2312" w:cs="Times New Roman"/>
          <w:color w:val="auto"/>
          <w:sz w:val="32"/>
          <w:szCs w:val="32"/>
        </w:rPr>
        <w:t>考核小组</w:t>
      </w:r>
      <w:r>
        <w:rPr>
          <w:rFonts w:hint="eastAsia" w:ascii="Times New Roman" w:hAnsi="Times New Roman" w:eastAsia="仿宋_GB2312" w:cs="Times New Roman"/>
          <w:color w:val="auto"/>
          <w:sz w:val="32"/>
          <w:szCs w:val="32"/>
          <w:lang w:eastAsia="zh-CN"/>
        </w:rPr>
        <w:t>考核</w:t>
      </w:r>
      <w:r>
        <w:rPr>
          <w:rFonts w:hint="eastAsia" w:ascii="Times New Roman" w:hAnsi="Times New Roman" w:eastAsia="仿宋_GB2312" w:cs="Times New Roman"/>
          <w:color w:val="auto"/>
          <w:sz w:val="32"/>
          <w:szCs w:val="32"/>
        </w:rPr>
        <w:t>。</w:t>
      </w:r>
    </w:p>
    <w:p w14:paraId="382E39DE">
      <w:pPr>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left="0" w:firstLine="640" w:firstLineChars="200"/>
        <w:textAlignment w:val="auto"/>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val="en-US" w:eastAsia="zh-CN"/>
        </w:rPr>
        <w:t>2、</w:t>
      </w:r>
      <w:r>
        <w:rPr>
          <w:rFonts w:hint="eastAsia" w:ascii="Times New Roman" w:hAnsi="Times New Roman" w:eastAsia="仿宋_GB2312" w:cs="Times New Roman"/>
          <w:color w:val="auto"/>
          <w:sz w:val="32"/>
          <w:szCs w:val="32"/>
        </w:rPr>
        <w:t>考核小组</w:t>
      </w:r>
      <w:r>
        <w:rPr>
          <w:rFonts w:hint="eastAsia" w:ascii="Times New Roman" w:hAnsi="Times New Roman" w:eastAsia="仿宋_GB2312" w:cs="Times New Roman"/>
          <w:color w:val="auto"/>
          <w:sz w:val="32"/>
          <w:szCs w:val="32"/>
          <w:lang w:eastAsia="zh-CN"/>
        </w:rPr>
        <w:t>成员</w:t>
      </w:r>
      <w:r>
        <w:rPr>
          <w:rFonts w:hint="eastAsia" w:ascii="Times New Roman" w:hAnsi="Times New Roman" w:eastAsia="仿宋_GB2312" w:cs="Times New Roman"/>
          <w:color w:val="auto"/>
          <w:sz w:val="32"/>
          <w:szCs w:val="32"/>
          <w:lang w:val="en-US" w:eastAsia="zh-CN"/>
        </w:rPr>
        <w:t>：总务科长、总务科消防管理员，服务监督管理办公室主任，服务监督管理办公室外包单位考核员。</w:t>
      </w:r>
    </w:p>
    <w:p w14:paraId="3AB9699D">
      <w:pPr>
        <w:keepNext w:val="0"/>
        <w:keepLines w:val="0"/>
        <w:pageBreakBefore w:val="0"/>
        <w:widowControl w:val="0"/>
        <w:kinsoku/>
        <w:wordWrap/>
        <w:overflowPunct/>
        <w:topLinePunct w:val="0"/>
        <w:autoSpaceDE/>
        <w:autoSpaceDN/>
        <w:bidi w:val="0"/>
        <w:adjustRightInd/>
        <w:snapToGrid/>
        <w:spacing w:after="0" w:line="560" w:lineRule="exact"/>
        <w:ind w:left="0" w:firstLine="643" w:firstLineChars="200"/>
        <w:textAlignment w:val="auto"/>
        <w:rPr>
          <w:rFonts w:hint="eastAsia" w:ascii="Times New Roman" w:hAnsi="Times New Roman" w:eastAsia="仿宋_GB2312" w:cs="Times New Roman"/>
          <w:b w:val="0"/>
          <w:bCs w:val="0"/>
          <w:color w:val="auto"/>
          <w:sz w:val="32"/>
          <w:szCs w:val="32"/>
        </w:rPr>
      </w:pPr>
      <w:r>
        <w:rPr>
          <w:rFonts w:hint="eastAsia" w:ascii="Times New Roman" w:hAnsi="Times New Roman" w:eastAsia="仿宋_GB2312" w:cs="Times New Roman"/>
          <w:b/>
          <w:bCs/>
          <w:color w:val="auto"/>
          <w:sz w:val="32"/>
          <w:szCs w:val="32"/>
          <w:lang w:val="en-US" w:eastAsia="zh-CN"/>
        </w:rPr>
        <w:t>二</w:t>
      </w:r>
      <w:r>
        <w:rPr>
          <w:rFonts w:hint="eastAsia" w:ascii="Times New Roman" w:hAnsi="Times New Roman" w:eastAsia="仿宋_GB2312" w:cs="Times New Roman"/>
          <w:b/>
          <w:bCs/>
          <w:color w:val="auto"/>
          <w:sz w:val="32"/>
          <w:szCs w:val="32"/>
        </w:rPr>
        <w:t>、</w:t>
      </w:r>
      <w:r>
        <w:rPr>
          <w:rFonts w:hint="eastAsia" w:ascii="Times New Roman" w:hAnsi="Times New Roman" w:eastAsia="仿宋_GB2312" w:cs="Times New Roman"/>
          <w:b w:val="0"/>
          <w:bCs w:val="0"/>
          <w:color w:val="auto"/>
          <w:sz w:val="32"/>
          <w:szCs w:val="32"/>
        </w:rPr>
        <w:t>考核方法</w:t>
      </w:r>
    </w:p>
    <w:p w14:paraId="4C3F3946">
      <w:pPr>
        <w:keepNext w:val="0"/>
        <w:keepLines w:val="0"/>
        <w:pageBreakBefore w:val="0"/>
        <w:widowControl w:val="0"/>
        <w:kinsoku/>
        <w:wordWrap/>
        <w:overflowPunct/>
        <w:topLinePunct w:val="0"/>
        <w:autoSpaceDE/>
        <w:autoSpaceDN/>
        <w:bidi w:val="0"/>
        <w:adjustRightInd/>
        <w:snapToGrid/>
        <w:spacing w:after="0" w:line="560" w:lineRule="exact"/>
        <w:ind w:left="0" w:firstLine="640" w:firstLineChars="200"/>
        <w:textAlignment w:val="auto"/>
        <w:rPr>
          <w:rFonts w:hint="eastAsia"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rPr>
        <w:t>1、</w:t>
      </w:r>
      <w:r>
        <w:rPr>
          <w:rFonts w:hint="eastAsia" w:ascii="Times New Roman" w:hAnsi="Times New Roman" w:eastAsia="仿宋_GB2312" w:cs="Times New Roman"/>
          <w:color w:val="auto"/>
          <w:sz w:val="32"/>
          <w:szCs w:val="32"/>
          <w:lang w:eastAsia="zh-CN"/>
        </w:rPr>
        <w:t>每</w:t>
      </w:r>
      <w:r>
        <w:rPr>
          <w:rFonts w:hint="eastAsia" w:ascii="Times New Roman" w:hAnsi="Times New Roman" w:eastAsia="仿宋_GB2312" w:cs="Times New Roman"/>
          <w:color w:val="auto"/>
          <w:sz w:val="32"/>
          <w:szCs w:val="32"/>
        </w:rPr>
        <w:t>季度</w:t>
      </w:r>
      <w:r>
        <w:rPr>
          <w:rFonts w:hint="eastAsia" w:ascii="Times New Roman" w:hAnsi="Times New Roman" w:eastAsia="仿宋_GB2312" w:cs="Times New Roman"/>
          <w:color w:val="auto"/>
          <w:sz w:val="32"/>
          <w:szCs w:val="32"/>
          <w:lang w:eastAsia="zh-CN"/>
        </w:rPr>
        <w:t>（三个月）</w:t>
      </w:r>
      <w:r>
        <w:rPr>
          <w:rFonts w:hint="eastAsia" w:ascii="Times New Roman" w:hAnsi="Times New Roman" w:eastAsia="仿宋_GB2312" w:cs="Times New Roman"/>
          <w:color w:val="auto"/>
          <w:sz w:val="32"/>
          <w:szCs w:val="32"/>
        </w:rPr>
        <w:t>考核一次</w:t>
      </w:r>
      <w:r>
        <w:rPr>
          <w:rFonts w:hint="eastAsia" w:ascii="Times New Roman" w:hAnsi="Times New Roman" w:eastAsia="仿宋_GB2312" w:cs="Times New Roman"/>
          <w:color w:val="auto"/>
          <w:sz w:val="32"/>
          <w:szCs w:val="32"/>
          <w:lang w:eastAsia="zh-CN"/>
        </w:rPr>
        <w:t>，</w:t>
      </w:r>
      <w:r>
        <w:rPr>
          <w:rFonts w:hint="eastAsia" w:ascii="Times New Roman" w:hAnsi="Times New Roman" w:eastAsia="仿宋_GB2312" w:cs="Times New Roman"/>
          <w:color w:val="auto"/>
          <w:sz w:val="32"/>
          <w:szCs w:val="32"/>
        </w:rPr>
        <w:t>考核小组</w:t>
      </w:r>
      <w:r>
        <w:rPr>
          <w:rFonts w:hint="eastAsia" w:ascii="Times New Roman" w:hAnsi="Times New Roman" w:eastAsia="仿宋_GB2312" w:cs="Times New Roman"/>
          <w:color w:val="auto"/>
          <w:sz w:val="32"/>
          <w:szCs w:val="32"/>
          <w:lang w:eastAsia="zh-CN"/>
        </w:rPr>
        <w:t>成员或</w:t>
      </w:r>
      <w:r>
        <w:rPr>
          <w:rFonts w:hint="eastAsia" w:ascii="Times New Roman" w:hAnsi="Times New Roman" w:eastAsia="仿宋_GB2312" w:cs="Times New Roman"/>
          <w:color w:val="auto"/>
          <w:sz w:val="32"/>
          <w:szCs w:val="32"/>
          <w:lang w:val="en-US" w:eastAsia="zh-CN"/>
        </w:rPr>
        <w:t>聘请消防专业人员</w:t>
      </w:r>
      <w:r>
        <w:rPr>
          <w:rFonts w:hint="eastAsia" w:ascii="Times New Roman" w:hAnsi="Times New Roman" w:eastAsia="仿宋_GB2312" w:cs="Times New Roman"/>
          <w:color w:val="auto"/>
          <w:sz w:val="32"/>
          <w:szCs w:val="32"/>
        </w:rPr>
        <w:t>现场检查打分</w:t>
      </w:r>
      <w:r>
        <w:rPr>
          <w:rFonts w:hint="eastAsia" w:ascii="Times New Roman" w:hAnsi="Times New Roman" w:eastAsia="仿宋_GB2312" w:cs="Times New Roman"/>
          <w:color w:val="auto"/>
          <w:sz w:val="32"/>
          <w:szCs w:val="32"/>
          <w:lang w:eastAsia="zh-CN"/>
        </w:rPr>
        <w:t>，</w:t>
      </w:r>
      <w:r>
        <w:rPr>
          <w:rFonts w:hint="eastAsia" w:ascii="Times New Roman" w:hAnsi="Times New Roman" w:eastAsia="仿宋_GB2312" w:cs="Times New Roman"/>
          <w:color w:val="auto"/>
          <w:sz w:val="32"/>
          <w:szCs w:val="32"/>
        </w:rPr>
        <w:t>考核满分为100分，</w:t>
      </w:r>
      <w:r>
        <w:rPr>
          <w:rFonts w:hint="eastAsia" w:ascii="Times New Roman" w:hAnsi="Times New Roman" w:eastAsia="仿宋_GB2312" w:cs="Times New Roman"/>
          <w:color w:val="auto"/>
          <w:sz w:val="32"/>
          <w:szCs w:val="32"/>
          <w:lang w:val="en-US" w:eastAsia="zh-CN"/>
        </w:rPr>
        <w:t>9</w:t>
      </w:r>
      <w:r>
        <w:rPr>
          <w:rFonts w:hint="eastAsia" w:ascii="Times New Roman" w:hAnsi="Times New Roman" w:eastAsia="仿宋_GB2312" w:cs="Times New Roman"/>
          <w:color w:val="auto"/>
          <w:sz w:val="32"/>
          <w:szCs w:val="32"/>
        </w:rPr>
        <w:t>0分为合格分。</w:t>
      </w:r>
    </w:p>
    <w:p w14:paraId="334791B9">
      <w:pPr>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left="0" w:firstLine="640" w:firstLineChars="200"/>
        <w:textAlignment w:val="auto"/>
        <w:rPr>
          <w:rFonts w:hint="eastAsia"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lang w:val="en-US" w:eastAsia="zh-CN"/>
        </w:rPr>
        <w:t>2、服务监督管理办公室及总务科消防管理员日常巡查做为单项处罚依据。</w:t>
      </w:r>
    </w:p>
    <w:p w14:paraId="4EC55605">
      <w:pPr>
        <w:keepNext w:val="0"/>
        <w:keepLines w:val="0"/>
        <w:pageBreakBefore w:val="0"/>
        <w:widowControl w:val="0"/>
        <w:kinsoku/>
        <w:wordWrap/>
        <w:overflowPunct/>
        <w:topLinePunct w:val="0"/>
        <w:autoSpaceDE/>
        <w:autoSpaceDN/>
        <w:bidi w:val="0"/>
        <w:adjustRightInd/>
        <w:snapToGrid/>
        <w:spacing w:after="0" w:line="560" w:lineRule="exact"/>
        <w:ind w:left="0" w:firstLine="643" w:firstLineChars="200"/>
        <w:textAlignment w:val="auto"/>
        <w:rPr>
          <w:rFonts w:hint="eastAsia" w:ascii="Times New Roman" w:hAnsi="Times New Roman" w:eastAsia="仿宋_GB2312" w:cs="Times New Roman"/>
          <w:b/>
          <w:bCs/>
          <w:color w:val="auto"/>
          <w:sz w:val="32"/>
          <w:szCs w:val="32"/>
          <w:lang w:val="en-US" w:eastAsia="zh-CN"/>
        </w:rPr>
      </w:pPr>
      <w:r>
        <w:rPr>
          <w:rFonts w:hint="eastAsia" w:ascii="Times New Roman" w:hAnsi="Times New Roman" w:eastAsia="仿宋_GB2312" w:cs="Times New Roman"/>
          <w:b/>
          <w:bCs/>
          <w:color w:val="auto"/>
          <w:sz w:val="32"/>
          <w:szCs w:val="32"/>
          <w:lang w:val="en-US" w:eastAsia="zh-CN"/>
        </w:rPr>
        <w:t>三、</w:t>
      </w:r>
      <w:r>
        <w:rPr>
          <w:rFonts w:hint="eastAsia" w:ascii="Times New Roman" w:hAnsi="Times New Roman" w:eastAsia="仿宋_GB2312" w:cs="Times New Roman"/>
          <w:b w:val="0"/>
          <w:bCs w:val="0"/>
          <w:color w:val="auto"/>
          <w:sz w:val="32"/>
          <w:szCs w:val="32"/>
          <w:lang w:val="en-US" w:eastAsia="zh-CN"/>
        </w:rPr>
        <w:t>考核结果与消防</w:t>
      </w:r>
      <w:r>
        <w:rPr>
          <w:rFonts w:hint="eastAsia" w:ascii="Times New Roman" w:hAnsi="Times New Roman" w:eastAsia="仿宋_GB2312" w:cs="Times New Roman"/>
          <w:color w:val="auto"/>
          <w:sz w:val="32"/>
          <w:szCs w:val="32"/>
          <w:lang w:eastAsia="zh-CN"/>
        </w:rPr>
        <w:t>维保费用挂钩</w:t>
      </w:r>
    </w:p>
    <w:p w14:paraId="6E5E10CA">
      <w:pPr>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left="0" w:firstLine="640" w:firstLineChars="200"/>
        <w:textAlignment w:val="auto"/>
        <w:rPr>
          <w:rFonts w:hint="eastAsia"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lang w:val="en-US" w:eastAsia="zh-CN"/>
        </w:rPr>
        <w:t>1、每次</w:t>
      </w:r>
      <w:r>
        <w:rPr>
          <w:rFonts w:hint="eastAsia" w:ascii="Times New Roman" w:hAnsi="Times New Roman" w:eastAsia="仿宋_GB2312" w:cs="Times New Roman"/>
          <w:color w:val="auto"/>
          <w:sz w:val="32"/>
          <w:szCs w:val="32"/>
        </w:rPr>
        <w:t>考核</w:t>
      </w:r>
      <w:r>
        <w:rPr>
          <w:rFonts w:hint="eastAsia" w:ascii="Times New Roman" w:hAnsi="Times New Roman" w:eastAsia="仿宋_GB2312" w:cs="Times New Roman"/>
          <w:color w:val="auto"/>
          <w:sz w:val="32"/>
          <w:szCs w:val="32"/>
          <w:lang w:val="en-US" w:eastAsia="zh-CN"/>
        </w:rPr>
        <w:t>9</w:t>
      </w:r>
      <w:r>
        <w:rPr>
          <w:rFonts w:hint="eastAsia" w:ascii="Times New Roman" w:hAnsi="Times New Roman" w:eastAsia="仿宋_GB2312" w:cs="Times New Roman"/>
          <w:color w:val="auto"/>
          <w:sz w:val="32"/>
          <w:szCs w:val="32"/>
        </w:rPr>
        <w:t>0分为合格</w:t>
      </w:r>
      <w:r>
        <w:rPr>
          <w:rFonts w:hint="eastAsia" w:ascii="Times New Roman" w:hAnsi="Times New Roman" w:eastAsia="仿宋_GB2312" w:cs="Times New Roman"/>
          <w:color w:val="auto"/>
          <w:sz w:val="32"/>
          <w:szCs w:val="32"/>
          <w:lang w:eastAsia="zh-CN"/>
        </w:rPr>
        <w:t>（含</w:t>
      </w:r>
      <w:r>
        <w:rPr>
          <w:rFonts w:hint="eastAsia" w:ascii="Times New Roman" w:hAnsi="Times New Roman" w:eastAsia="仿宋_GB2312" w:cs="Times New Roman"/>
          <w:color w:val="auto"/>
          <w:sz w:val="32"/>
          <w:szCs w:val="32"/>
          <w:lang w:val="en-US" w:eastAsia="zh-CN"/>
        </w:rPr>
        <w:t>90分）</w:t>
      </w:r>
      <w:r>
        <w:rPr>
          <w:rFonts w:hint="eastAsia"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lang w:val="en-US" w:eastAsia="zh-CN"/>
        </w:rPr>
        <w:t>低于90分，每下降一分扣除本季度服务费的1%，依次类推；考核低于70分（含70分）甲方与</w:t>
      </w:r>
      <w:r>
        <w:rPr>
          <w:rFonts w:hint="eastAsia" w:ascii="Times New Roman" w:hAnsi="Times New Roman" w:eastAsia="仿宋_GB2312" w:cs="Times New Roman"/>
          <w:color w:val="auto"/>
          <w:kern w:val="0"/>
          <w:sz w:val="32"/>
          <w:szCs w:val="32"/>
          <w:lang w:val="en-US" w:eastAsia="zh-CN"/>
        </w:rPr>
        <w:t>乙方</w:t>
      </w:r>
      <w:r>
        <w:rPr>
          <w:rFonts w:hint="eastAsia" w:ascii="Times New Roman" w:hAnsi="Times New Roman" w:eastAsia="仿宋_GB2312" w:cs="Times New Roman"/>
          <w:color w:val="auto"/>
          <w:sz w:val="32"/>
          <w:szCs w:val="32"/>
          <w:lang w:val="en-US" w:eastAsia="zh-CN"/>
        </w:rPr>
        <w:t>解除合同。</w:t>
      </w:r>
    </w:p>
    <w:p w14:paraId="7E7ADFE6">
      <w:pPr>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left="0" w:firstLine="640" w:firstLineChars="200"/>
        <w:textAlignment w:val="auto"/>
        <w:rPr>
          <w:rFonts w:hint="eastAsia"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lang w:val="en-US" w:eastAsia="zh-CN"/>
        </w:rPr>
        <w:t>2、单项处罚</w:t>
      </w:r>
    </w:p>
    <w:p w14:paraId="44119EBF">
      <w:pPr>
        <w:pStyle w:val="9"/>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lang w:val="en-US" w:eastAsia="zh-CN"/>
        </w:rPr>
        <w:t>1）发生</w:t>
      </w:r>
      <w:r>
        <w:rPr>
          <w:rFonts w:hint="eastAsia" w:ascii="Times New Roman" w:hAnsi="Times New Roman" w:eastAsia="仿宋_GB2312" w:cs="Times New Roman"/>
          <w:color w:val="auto"/>
          <w:sz w:val="32"/>
          <w:szCs w:val="32"/>
        </w:rPr>
        <w:t>消防应急事件维保单位</w:t>
      </w:r>
      <w:r>
        <w:rPr>
          <w:rFonts w:hint="eastAsia" w:ascii="Times New Roman" w:hAnsi="Times New Roman" w:eastAsia="仿宋_GB2312" w:cs="Times New Roman"/>
          <w:color w:val="auto"/>
          <w:sz w:val="32"/>
          <w:szCs w:val="32"/>
          <w:lang w:eastAsia="zh-CN"/>
        </w:rPr>
        <w:t>没</w:t>
      </w:r>
      <w:r>
        <w:rPr>
          <w:rFonts w:hint="eastAsia" w:ascii="Times New Roman" w:hAnsi="Times New Roman" w:eastAsia="仿宋_GB2312" w:cs="Times New Roman"/>
          <w:color w:val="auto"/>
          <w:sz w:val="32"/>
          <w:szCs w:val="32"/>
        </w:rPr>
        <w:t>按规定</w:t>
      </w:r>
      <w:r>
        <w:rPr>
          <w:rFonts w:hint="eastAsia" w:ascii="Times New Roman" w:hAnsi="Times New Roman" w:eastAsia="仿宋_GB2312" w:cs="Times New Roman"/>
          <w:color w:val="auto"/>
          <w:sz w:val="32"/>
          <w:szCs w:val="32"/>
          <w:lang w:eastAsia="zh-CN"/>
        </w:rPr>
        <w:t>在</w:t>
      </w:r>
      <w:r>
        <w:rPr>
          <w:rFonts w:hint="eastAsia" w:ascii="Times New Roman" w:hAnsi="Times New Roman" w:eastAsia="仿宋_GB2312" w:cs="Times New Roman"/>
          <w:color w:val="auto"/>
          <w:sz w:val="32"/>
          <w:szCs w:val="32"/>
        </w:rPr>
        <w:t>30分钟内到达现场进行排除</w:t>
      </w:r>
      <w:r>
        <w:rPr>
          <w:rFonts w:hint="eastAsia" w:ascii="Times New Roman" w:hAnsi="Times New Roman" w:eastAsia="仿宋_GB2312" w:cs="Times New Roman"/>
          <w:color w:val="auto"/>
          <w:sz w:val="32"/>
          <w:szCs w:val="32"/>
          <w:lang w:eastAsia="zh-CN"/>
        </w:rPr>
        <w:t>或</w:t>
      </w:r>
      <w:r>
        <w:rPr>
          <w:rFonts w:hint="eastAsia" w:ascii="Times New Roman" w:hAnsi="Times New Roman" w:eastAsia="仿宋_GB2312" w:cs="Times New Roman"/>
          <w:color w:val="auto"/>
          <w:sz w:val="32"/>
          <w:szCs w:val="32"/>
        </w:rPr>
        <w:t>消防系统出现系统故障时</w:t>
      </w:r>
      <w:r>
        <w:rPr>
          <w:rFonts w:hint="eastAsia" w:ascii="Times New Roman" w:hAnsi="Times New Roman" w:eastAsia="仿宋_GB2312" w:cs="Times New Roman"/>
          <w:color w:val="auto"/>
          <w:sz w:val="32"/>
          <w:szCs w:val="32"/>
          <w:lang w:eastAsia="zh-CN"/>
        </w:rPr>
        <w:t>没</w:t>
      </w:r>
      <w:r>
        <w:rPr>
          <w:rFonts w:hint="eastAsia" w:ascii="Times New Roman" w:hAnsi="Times New Roman" w:eastAsia="仿宋_GB2312" w:cs="Times New Roman"/>
          <w:color w:val="auto"/>
          <w:sz w:val="32"/>
          <w:szCs w:val="32"/>
        </w:rPr>
        <w:t>按规定</w:t>
      </w:r>
      <w:r>
        <w:rPr>
          <w:rFonts w:hint="eastAsia" w:ascii="Times New Roman" w:hAnsi="Times New Roman" w:eastAsia="仿宋_GB2312" w:cs="Times New Roman"/>
          <w:color w:val="auto"/>
          <w:sz w:val="32"/>
          <w:szCs w:val="32"/>
          <w:lang w:eastAsia="zh-CN"/>
        </w:rPr>
        <w:t>在</w:t>
      </w:r>
      <w:r>
        <w:rPr>
          <w:rFonts w:hint="eastAsia" w:ascii="Times New Roman" w:hAnsi="Times New Roman" w:eastAsia="仿宋_GB2312" w:cs="Times New Roman"/>
          <w:color w:val="auto"/>
          <w:sz w:val="32"/>
          <w:szCs w:val="32"/>
        </w:rPr>
        <w:t>2</w:t>
      </w:r>
      <w:r>
        <w:rPr>
          <w:rFonts w:hint="eastAsia" w:ascii="Times New Roman" w:hAnsi="Times New Roman" w:eastAsia="仿宋_GB2312" w:cs="Times New Roman"/>
          <w:color w:val="auto"/>
          <w:spacing w:val="-7"/>
          <w:sz w:val="32"/>
          <w:szCs w:val="32"/>
        </w:rPr>
        <w:t>小时内修复故障</w:t>
      </w:r>
      <w:r>
        <w:rPr>
          <w:rFonts w:hint="eastAsia" w:ascii="Times New Roman" w:hAnsi="Times New Roman" w:eastAsia="仿宋_GB2312" w:cs="Times New Roman"/>
          <w:color w:val="auto"/>
          <w:sz w:val="32"/>
          <w:szCs w:val="32"/>
        </w:rPr>
        <w:t>（需更换大型消防设备除外）</w:t>
      </w:r>
      <w:r>
        <w:rPr>
          <w:rFonts w:hint="eastAsia" w:ascii="Times New Roman" w:hAnsi="Times New Roman" w:eastAsia="仿宋_GB2312" w:cs="Times New Roman"/>
          <w:color w:val="auto"/>
          <w:sz w:val="32"/>
          <w:szCs w:val="32"/>
          <w:lang w:eastAsia="zh-CN"/>
        </w:rPr>
        <w:t>，</w:t>
      </w:r>
      <w:r>
        <w:rPr>
          <w:rFonts w:hint="eastAsia" w:ascii="Times New Roman" w:hAnsi="Times New Roman" w:eastAsia="仿宋_GB2312" w:cs="Times New Roman"/>
          <w:color w:val="auto"/>
          <w:sz w:val="32"/>
          <w:szCs w:val="32"/>
          <w:lang w:val="en-US" w:eastAsia="zh-CN"/>
        </w:rPr>
        <w:t>根据情节扣除不低于1000元维保服务费。</w:t>
      </w:r>
    </w:p>
    <w:p w14:paraId="47355926">
      <w:pPr>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left="0" w:firstLine="640" w:firstLineChars="200"/>
        <w:textAlignment w:val="auto"/>
        <w:rPr>
          <w:rFonts w:hint="eastAsia"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lang w:val="en-US" w:eastAsia="zh-CN"/>
        </w:rPr>
        <w:t>2）</w:t>
      </w:r>
      <w:r>
        <w:rPr>
          <w:rFonts w:hint="eastAsia" w:ascii="Times New Roman" w:hAnsi="Times New Roman" w:eastAsia="仿宋_GB2312" w:cs="Times New Roman"/>
          <w:color w:val="auto"/>
          <w:kern w:val="0"/>
          <w:sz w:val="32"/>
          <w:szCs w:val="32"/>
          <w:lang w:val="en-US" w:eastAsia="zh-CN"/>
        </w:rPr>
        <w:t>乙方</w:t>
      </w:r>
      <w:r>
        <w:rPr>
          <w:rFonts w:hint="eastAsia" w:ascii="Times New Roman" w:hAnsi="Times New Roman" w:eastAsia="仿宋_GB2312" w:cs="Times New Roman"/>
          <w:color w:val="auto"/>
          <w:sz w:val="32"/>
          <w:szCs w:val="32"/>
          <w:lang w:val="en-US" w:eastAsia="zh-CN"/>
        </w:rPr>
        <w:t>被有效投诉或被院级及以上通报批评，根据情节扣除500-2000元维保服务费。</w:t>
      </w:r>
    </w:p>
    <w:p w14:paraId="4CF67F3A">
      <w:pPr>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left="0" w:firstLine="640" w:firstLineChars="200"/>
        <w:textAlignment w:val="auto"/>
        <w:rPr>
          <w:rFonts w:hint="eastAsia"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lang w:val="en-US" w:eastAsia="zh-CN"/>
        </w:rPr>
        <w:t>3）服务监督管理办公室、总务科日常巡查或安全生产</w:t>
      </w:r>
    </w:p>
    <w:p w14:paraId="3EE1D9F0">
      <w:pPr>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left="0" w:firstLine="640" w:firstLineChars="200"/>
        <w:textAlignment w:val="auto"/>
        <w:rPr>
          <w:rFonts w:hint="eastAsia"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lang w:val="en-US" w:eastAsia="zh-CN"/>
        </w:rPr>
        <w:t>大检查发现的维保问题根据情节扣除500-1000元维保服务费。</w:t>
      </w:r>
    </w:p>
    <w:p w14:paraId="0266B3C8">
      <w:pPr>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left="0" w:firstLine="640" w:firstLineChars="200"/>
        <w:textAlignment w:val="auto"/>
        <w:rPr>
          <w:rFonts w:hint="eastAsia"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lang w:val="en-US" w:eastAsia="zh-CN"/>
        </w:rPr>
        <w:t>四、维修过程中更换的配件材料以次充好或以旧充新（与招标的材料参数不符），甲方除扣除配件材料费用外，并有权与</w:t>
      </w:r>
      <w:r>
        <w:rPr>
          <w:rFonts w:hint="eastAsia" w:ascii="Times New Roman" w:hAnsi="Times New Roman" w:eastAsia="仿宋_GB2312" w:cs="Times New Roman"/>
          <w:color w:val="auto"/>
          <w:kern w:val="0"/>
          <w:sz w:val="32"/>
          <w:szCs w:val="32"/>
          <w:lang w:val="en-US" w:eastAsia="zh-CN"/>
        </w:rPr>
        <w:t>乙方</w:t>
      </w:r>
      <w:r>
        <w:rPr>
          <w:rFonts w:hint="eastAsia" w:ascii="Times New Roman" w:hAnsi="Times New Roman" w:eastAsia="仿宋_GB2312" w:cs="Times New Roman"/>
          <w:color w:val="auto"/>
          <w:sz w:val="32"/>
          <w:szCs w:val="32"/>
          <w:lang w:val="en-US" w:eastAsia="zh-CN"/>
        </w:rPr>
        <w:t>解除合同；维保期间</w:t>
      </w:r>
      <w:r>
        <w:rPr>
          <w:rFonts w:hint="eastAsia" w:ascii="Times New Roman" w:hAnsi="Times New Roman" w:eastAsia="仿宋_GB2312" w:cs="Times New Roman"/>
          <w:color w:val="auto"/>
          <w:sz w:val="32"/>
          <w:szCs w:val="32"/>
        </w:rPr>
        <w:t>发生</w:t>
      </w:r>
      <w:r>
        <w:rPr>
          <w:rFonts w:hint="eastAsia" w:ascii="Times New Roman" w:hAnsi="Times New Roman" w:eastAsia="仿宋_GB2312" w:cs="Times New Roman"/>
          <w:color w:val="auto"/>
          <w:sz w:val="32"/>
          <w:szCs w:val="32"/>
          <w:lang w:val="en-US" w:eastAsia="zh-CN"/>
        </w:rPr>
        <w:t>严重</w:t>
      </w:r>
      <w:r>
        <w:rPr>
          <w:rFonts w:hint="eastAsia" w:ascii="Times New Roman" w:hAnsi="Times New Roman" w:eastAsia="仿宋_GB2312" w:cs="Times New Roman"/>
          <w:color w:val="auto"/>
          <w:sz w:val="32"/>
          <w:szCs w:val="32"/>
        </w:rPr>
        <w:t>安全事故</w:t>
      </w:r>
      <w:r>
        <w:rPr>
          <w:rFonts w:hint="eastAsia" w:ascii="Times New Roman" w:hAnsi="Times New Roman" w:eastAsia="仿宋_GB2312" w:cs="Times New Roman"/>
          <w:color w:val="auto"/>
          <w:sz w:val="32"/>
          <w:szCs w:val="32"/>
          <w:lang w:eastAsia="zh-CN"/>
        </w:rPr>
        <w:t>，</w:t>
      </w:r>
      <w:r>
        <w:rPr>
          <w:rFonts w:hint="eastAsia" w:ascii="Times New Roman" w:hAnsi="Times New Roman" w:eastAsia="仿宋_GB2312" w:cs="Times New Roman"/>
          <w:color w:val="auto"/>
          <w:sz w:val="32"/>
          <w:szCs w:val="32"/>
          <w:lang w:val="en-US" w:eastAsia="zh-CN"/>
        </w:rPr>
        <w:t>甲方有权与</w:t>
      </w:r>
      <w:r>
        <w:rPr>
          <w:rFonts w:hint="eastAsia" w:ascii="Times New Roman" w:hAnsi="Times New Roman" w:eastAsia="仿宋_GB2312" w:cs="Times New Roman"/>
          <w:color w:val="auto"/>
          <w:kern w:val="0"/>
          <w:sz w:val="32"/>
          <w:szCs w:val="32"/>
          <w:lang w:val="en-US" w:eastAsia="zh-CN"/>
        </w:rPr>
        <w:t>乙方</w:t>
      </w:r>
      <w:r>
        <w:rPr>
          <w:rFonts w:hint="eastAsia" w:ascii="Times New Roman" w:hAnsi="Times New Roman" w:eastAsia="仿宋_GB2312" w:cs="Times New Roman"/>
          <w:color w:val="auto"/>
          <w:sz w:val="32"/>
          <w:szCs w:val="32"/>
          <w:lang w:val="en-US" w:eastAsia="zh-CN"/>
        </w:rPr>
        <w:t>解除合同。</w:t>
      </w:r>
    </w:p>
    <w:p w14:paraId="3D400681">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rPr>
          <w:rFonts w:hint="eastAsia" w:ascii="Times New Roman" w:hAnsi="Times New Roman" w:eastAsia="仿宋_GB2312" w:cs="Times New Roman"/>
          <w:b w:val="0"/>
          <w:bCs/>
          <w:i w:val="0"/>
          <w:color w:val="auto"/>
          <w:kern w:val="0"/>
          <w:sz w:val="28"/>
          <w:szCs w:val="28"/>
          <w:lang w:val="en-US" w:eastAsia="zh-CN" w:bidi="ar-SA"/>
        </w:rPr>
      </w:pPr>
      <w:r>
        <w:rPr>
          <w:rFonts w:hint="eastAsia" w:ascii="Times New Roman" w:hAnsi="Times New Roman" w:eastAsia="仿宋_GB2312" w:cs="Times New Roman"/>
          <w:color w:val="auto"/>
          <w:sz w:val="32"/>
          <w:szCs w:val="32"/>
          <w:lang w:val="en-US" w:eastAsia="zh-CN"/>
        </w:rPr>
        <w:t>五、附件：</w:t>
      </w:r>
      <w:r>
        <w:rPr>
          <w:rFonts w:hint="eastAsia" w:ascii="Times New Roman" w:hAnsi="Times New Roman" w:eastAsia="仿宋_GB2312" w:cs="Times New Roman"/>
          <w:b w:val="0"/>
          <w:bCs/>
          <w:i w:val="0"/>
          <w:color w:val="auto"/>
          <w:kern w:val="0"/>
          <w:sz w:val="28"/>
          <w:szCs w:val="28"/>
          <w:lang w:val="en-US" w:eastAsia="zh-CN" w:bidi="ar-SA"/>
        </w:rPr>
        <w:t>市人民医院消防维保考评表</w:t>
      </w:r>
    </w:p>
    <w:tbl>
      <w:tblPr>
        <w:tblStyle w:val="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720"/>
        <w:gridCol w:w="1551"/>
        <w:gridCol w:w="15"/>
        <w:gridCol w:w="15"/>
        <w:gridCol w:w="3675"/>
        <w:gridCol w:w="1035"/>
        <w:gridCol w:w="930"/>
        <w:gridCol w:w="990"/>
        <w:gridCol w:w="15"/>
      </w:tblGrid>
      <w:tr w14:paraId="566A3C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855" w:hRule="atLeast"/>
        </w:trPr>
        <w:tc>
          <w:tcPr>
            <w:tcW w:w="8946" w:type="dxa"/>
            <w:gridSpan w:val="9"/>
            <w:noWrap w:val="0"/>
            <w:vAlign w:val="center"/>
          </w:tcPr>
          <w:p w14:paraId="7741A95D">
            <w:pPr>
              <w:widowControl/>
              <w:jc w:val="center"/>
              <w:textAlignment w:val="center"/>
              <w:rPr>
                <w:rFonts w:hint="eastAsia" w:ascii="Times New Roman" w:hAnsi="Times New Roman" w:eastAsia="仿宋_GB2312" w:cs="Times New Roman"/>
                <w:i w:val="0"/>
                <w:color w:val="auto"/>
                <w:sz w:val="20"/>
                <w:szCs w:val="20"/>
              </w:rPr>
            </w:pPr>
            <w:r>
              <w:rPr>
                <w:rFonts w:hint="eastAsia" w:ascii="Times New Roman" w:hAnsi="Times New Roman" w:eastAsia="仿宋_GB2312" w:cs="Times New Roman"/>
                <w:i w:val="0"/>
                <w:color w:val="auto"/>
                <w:kern w:val="0"/>
                <w:sz w:val="28"/>
                <w:szCs w:val="28"/>
                <w:lang w:val="en-US" w:eastAsia="zh-CN" w:bidi="ar-SA"/>
              </w:rPr>
              <w:t>市人民医院消防维保考评表</w:t>
            </w:r>
          </w:p>
        </w:tc>
      </w:tr>
      <w:tr w14:paraId="65F78B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10" w:hRule="atLeast"/>
        </w:trPr>
        <w:tc>
          <w:tcPr>
            <w:tcW w:w="720" w:type="dxa"/>
            <w:tcBorders>
              <w:top w:val="single" w:color="000000" w:sz="4" w:space="0"/>
              <w:left w:val="single" w:color="000000" w:sz="4" w:space="0"/>
              <w:bottom w:val="single" w:color="000000" w:sz="4" w:space="0"/>
              <w:right w:val="single" w:color="000000" w:sz="4" w:space="0"/>
            </w:tcBorders>
            <w:noWrap w:val="0"/>
            <w:vAlign w:val="center"/>
          </w:tcPr>
          <w:p w14:paraId="7579A7C7">
            <w:pPr>
              <w:widowControl/>
              <w:jc w:val="center"/>
              <w:textAlignment w:val="center"/>
              <w:rPr>
                <w:rFonts w:hint="eastAsia" w:ascii="Times New Roman" w:hAnsi="Times New Roman" w:eastAsia="仿宋_GB2312" w:cs="Times New Roman"/>
                <w:i w:val="0"/>
                <w:color w:val="auto"/>
                <w:sz w:val="22"/>
                <w:szCs w:val="22"/>
              </w:rPr>
            </w:pPr>
            <w:r>
              <w:rPr>
                <w:rFonts w:hint="eastAsia" w:ascii="Times New Roman" w:hAnsi="Times New Roman" w:eastAsia="仿宋_GB2312" w:cs="Times New Roman"/>
                <w:i w:val="0"/>
                <w:color w:val="auto"/>
                <w:kern w:val="0"/>
                <w:sz w:val="22"/>
                <w:szCs w:val="22"/>
                <w:lang w:val="en-US" w:eastAsia="zh-CN" w:bidi="ar-SA"/>
              </w:rPr>
              <w:t>序号</w:t>
            </w:r>
          </w:p>
        </w:tc>
        <w:tc>
          <w:tcPr>
            <w:tcW w:w="1551" w:type="dxa"/>
            <w:tcBorders>
              <w:top w:val="single" w:color="000000" w:sz="4" w:space="0"/>
              <w:left w:val="single" w:color="000000" w:sz="4" w:space="0"/>
              <w:bottom w:val="single" w:color="000000" w:sz="4" w:space="0"/>
              <w:right w:val="single" w:color="000000" w:sz="4" w:space="0"/>
            </w:tcBorders>
            <w:noWrap w:val="0"/>
            <w:vAlign w:val="center"/>
          </w:tcPr>
          <w:p w14:paraId="0A357D31">
            <w:pPr>
              <w:widowControl/>
              <w:jc w:val="center"/>
              <w:textAlignment w:val="center"/>
              <w:rPr>
                <w:rFonts w:hint="eastAsia" w:ascii="Times New Roman" w:hAnsi="Times New Roman" w:eastAsia="仿宋_GB2312" w:cs="Times New Roman"/>
                <w:i w:val="0"/>
                <w:color w:val="auto"/>
                <w:sz w:val="22"/>
                <w:szCs w:val="22"/>
              </w:rPr>
            </w:pPr>
            <w:r>
              <w:rPr>
                <w:rFonts w:hint="eastAsia" w:ascii="Times New Roman" w:hAnsi="Times New Roman" w:eastAsia="仿宋_GB2312" w:cs="Times New Roman"/>
                <w:i w:val="0"/>
                <w:color w:val="auto"/>
                <w:kern w:val="0"/>
                <w:sz w:val="22"/>
                <w:szCs w:val="22"/>
                <w:lang w:val="en-US" w:eastAsia="zh-CN" w:bidi="ar-SA"/>
              </w:rPr>
              <w:t>考核项目</w:t>
            </w:r>
          </w:p>
        </w:tc>
        <w:tc>
          <w:tcPr>
            <w:tcW w:w="3705" w:type="dxa"/>
            <w:gridSpan w:val="3"/>
            <w:tcBorders>
              <w:top w:val="single" w:color="000000" w:sz="4" w:space="0"/>
              <w:left w:val="single" w:color="000000" w:sz="4" w:space="0"/>
              <w:bottom w:val="single" w:color="000000" w:sz="4" w:space="0"/>
              <w:right w:val="single" w:color="000000" w:sz="4" w:space="0"/>
            </w:tcBorders>
            <w:noWrap w:val="0"/>
            <w:vAlign w:val="center"/>
          </w:tcPr>
          <w:p w14:paraId="2000F5C6">
            <w:pPr>
              <w:widowControl/>
              <w:jc w:val="center"/>
              <w:textAlignment w:val="center"/>
              <w:rPr>
                <w:rFonts w:hint="eastAsia" w:ascii="Times New Roman" w:hAnsi="Times New Roman" w:eastAsia="仿宋_GB2312" w:cs="Times New Roman"/>
                <w:i w:val="0"/>
                <w:color w:val="auto"/>
                <w:sz w:val="22"/>
                <w:szCs w:val="22"/>
              </w:rPr>
            </w:pPr>
            <w:r>
              <w:rPr>
                <w:rFonts w:hint="eastAsia" w:ascii="Times New Roman" w:hAnsi="Times New Roman" w:eastAsia="仿宋_GB2312" w:cs="Times New Roman"/>
                <w:i w:val="0"/>
                <w:color w:val="auto"/>
                <w:kern w:val="0"/>
                <w:sz w:val="22"/>
                <w:szCs w:val="22"/>
                <w:lang w:val="en-US" w:eastAsia="zh-CN" w:bidi="ar-SA"/>
              </w:rPr>
              <w:t>考核内容</w:t>
            </w:r>
          </w:p>
        </w:tc>
        <w:tc>
          <w:tcPr>
            <w:tcW w:w="1035" w:type="dxa"/>
            <w:tcBorders>
              <w:top w:val="single" w:color="000000" w:sz="4" w:space="0"/>
              <w:left w:val="single" w:color="000000" w:sz="4" w:space="0"/>
              <w:bottom w:val="single" w:color="000000" w:sz="4" w:space="0"/>
              <w:right w:val="single" w:color="000000" w:sz="4" w:space="0"/>
            </w:tcBorders>
            <w:noWrap w:val="0"/>
            <w:vAlign w:val="center"/>
          </w:tcPr>
          <w:p w14:paraId="4A9DB7DD">
            <w:pPr>
              <w:widowControl/>
              <w:jc w:val="center"/>
              <w:textAlignment w:val="center"/>
              <w:rPr>
                <w:rFonts w:hint="eastAsia" w:ascii="Times New Roman" w:hAnsi="Times New Roman" w:eastAsia="仿宋_GB2312" w:cs="Times New Roman"/>
                <w:i w:val="0"/>
                <w:color w:val="auto"/>
                <w:sz w:val="22"/>
                <w:szCs w:val="22"/>
                <w:lang w:eastAsia="zh-CN"/>
              </w:rPr>
            </w:pPr>
            <w:r>
              <w:rPr>
                <w:rFonts w:hint="eastAsia" w:ascii="Times New Roman" w:hAnsi="Times New Roman" w:eastAsia="仿宋_GB2312" w:cs="Times New Roman"/>
                <w:i w:val="0"/>
                <w:color w:val="auto"/>
                <w:sz w:val="22"/>
                <w:szCs w:val="22"/>
                <w:lang w:eastAsia="zh-CN"/>
              </w:rPr>
              <w:t>项目分</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14:paraId="3DDBD697">
            <w:pPr>
              <w:widowControl/>
              <w:jc w:val="center"/>
              <w:textAlignment w:val="center"/>
              <w:rPr>
                <w:rFonts w:hint="eastAsia" w:ascii="Times New Roman" w:hAnsi="Times New Roman" w:eastAsia="仿宋_GB2312" w:cs="Times New Roman"/>
                <w:i w:val="0"/>
                <w:color w:val="auto"/>
                <w:sz w:val="22"/>
                <w:szCs w:val="22"/>
              </w:rPr>
            </w:pPr>
            <w:r>
              <w:rPr>
                <w:rFonts w:hint="eastAsia" w:ascii="Times New Roman" w:hAnsi="Times New Roman" w:eastAsia="仿宋_GB2312" w:cs="Times New Roman"/>
                <w:i w:val="0"/>
                <w:color w:val="auto"/>
                <w:kern w:val="0"/>
                <w:sz w:val="22"/>
                <w:szCs w:val="22"/>
                <w:lang w:val="en-US" w:eastAsia="zh-CN" w:bidi="ar-SA"/>
              </w:rPr>
              <w:t>实得分</w:t>
            </w:r>
          </w:p>
        </w:tc>
        <w:tc>
          <w:tcPr>
            <w:tcW w:w="1005" w:type="dxa"/>
            <w:gridSpan w:val="2"/>
            <w:tcBorders>
              <w:top w:val="single" w:color="000000" w:sz="4" w:space="0"/>
              <w:left w:val="single" w:color="000000" w:sz="4" w:space="0"/>
              <w:bottom w:val="single" w:color="000000" w:sz="4" w:space="0"/>
              <w:right w:val="single" w:color="000000" w:sz="4" w:space="0"/>
            </w:tcBorders>
            <w:noWrap w:val="0"/>
            <w:vAlign w:val="center"/>
          </w:tcPr>
          <w:p w14:paraId="026F060A">
            <w:pPr>
              <w:widowControl/>
              <w:jc w:val="center"/>
              <w:textAlignment w:val="center"/>
              <w:rPr>
                <w:rFonts w:hint="eastAsia" w:ascii="Times New Roman" w:hAnsi="Times New Roman" w:eastAsia="仿宋_GB2312" w:cs="Times New Roman"/>
                <w:i w:val="0"/>
                <w:color w:val="auto"/>
                <w:sz w:val="22"/>
                <w:szCs w:val="22"/>
              </w:rPr>
            </w:pPr>
            <w:r>
              <w:rPr>
                <w:rFonts w:hint="eastAsia" w:ascii="Times New Roman" w:hAnsi="Times New Roman" w:eastAsia="仿宋_GB2312" w:cs="Times New Roman"/>
                <w:i w:val="0"/>
                <w:color w:val="auto"/>
                <w:kern w:val="0"/>
                <w:sz w:val="22"/>
                <w:szCs w:val="22"/>
                <w:lang w:val="en-US" w:eastAsia="zh-CN" w:bidi="ar-SA"/>
              </w:rPr>
              <w:t>问题描述</w:t>
            </w:r>
          </w:p>
        </w:tc>
      </w:tr>
      <w:tr w14:paraId="39F4FE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10" w:hRule="atLeast"/>
        </w:trPr>
        <w:tc>
          <w:tcPr>
            <w:tcW w:w="5976" w:type="dxa"/>
            <w:gridSpan w:val="5"/>
            <w:tcBorders>
              <w:top w:val="single" w:color="000000" w:sz="4" w:space="0"/>
              <w:left w:val="single" w:color="000000" w:sz="4" w:space="0"/>
              <w:bottom w:val="single" w:color="000000" w:sz="4" w:space="0"/>
              <w:right w:val="single" w:color="000000" w:sz="4" w:space="0"/>
            </w:tcBorders>
            <w:noWrap w:val="0"/>
            <w:vAlign w:val="center"/>
          </w:tcPr>
          <w:p w14:paraId="71D4C6D9">
            <w:pPr>
              <w:widowControl/>
              <w:jc w:val="left"/>
              <w:textAlignment w:val="center"/>
              <w:rPr>
                <w:rFonts w:hint="eastAsia" w:ascii="Times New Roman" w:hAnsi="Times New Roman" w:eastAsia="仿宋_GB2312" w:cs="Times New Roman"/>
                <w:i w:val="0"/>
                <w:color w:val="auto"/>
                <w:sz w:val="22"/>
                <w:szCs w:val="22"/>
              </w:rPr>
            </w:pPr>
            <w:r>
              <w:rPr>
                <w:rFonts w:hint="eastAsia" w:ascii="Times New Roman" w:hAnsi="Times New Roman" w:eastAsia="仿宋_GB2312" w:cs="Times New Roman"/>
                <w:i w:val="0"/>
                <w:color w:val="auto"/>
                <w:kern w:val="0"/>
                <w:sz w:val="22"/>
                <w:szCs w:val="22"/>
                <w:lang w:val="en-US" w:eastAsia="zh-CN" w:bidi="ar-SA"/>
              </w:rPr>
              <w:t>一、服务</w:t>
            </w:r>
          </w:p>
        </w:tc>
        <w:tc>
          <w:tcPr>
            <w:tcW w:w="1035" w:type="dxa"/>
            <w:tcBorders>
              <w:top w:val="single" w:color="000000" w:sz="4" w:space="0"/>
              <w:left w:val="single" w:color="000000" w:sz="4" w:space="0"/>
              <w:bottom w:val="single" w:color="000000" w:sz="4" w:space="0"/>
              <w:right w:val="single" w:color="000000" w:sz="4" w:space="0"/>
            </w:tcBorders>
            <w:noWrap w:val="0"/>
            <w:vAlign w:val="center"/>
          </w:tcPr>
          <w:p w14:paraId="0FE548D7">
            <w:pPr>
              <w:widowControl/>
              <w:jc w:val="center"/>
              <w:textAlignment w:val="center"/>
              <w:rPr>
                <w:rFonts w:hint="eastAsia" w:ascii="Times New Roman" w:hAnsi="Times New Roman" w:eastAsia="仿宋_GB2312" w:cs="Times New Roman"/>
                <w:i w:val="0"/>
                <w:color w:val="auto"/>
                <w:sz w:val="22"/>
                <w:szCs w:val="22"/>
              </w:rPr>
            </w:pPr>
            <w:r>
              <w:rPr>
                <w:rFonts w:hint="eastAsia" w:ascii="Times New Roman" w:hAnsi="Times New Roman" w:eastAsia="仿宋_GB2312" w:cs="Times New Roman"/>
                <w:i w:val="0"/>
                <w:color w:val="auto"/>
                <w:kern w:val="0"/>
                <w:sz w:val="22"/>
                <w:szCs w:val="22"/>
                <w:lang w:val="en-US" w:eastAsia="zh-CN" w:bidi="ar-SA"/>
              </w:rPr>
              <w:t>13</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14:paraId="50431CFF">
            <w:pPr>
              <w:jc w:val="center"/>
              <w:rPr>
                <w:rFonts w:hint="eastAsia" w:ascii="Times New Roman" w:hAnsi="Times New Roman" w:eastAsia="仿宋_GB2312" w:cs="Times New Roman"/>
                <w:i w:val="0"/>
                <w:color w:val="auto"/>
                <w:sz w:val="22"/>
                <w:szCs w:val="22"/>
              </w:rPr>
            </w:pPr>
          </w:p>
        </w:tc>
        <w:tc>
          <w:tcPr>
            <w:tcW w:w="1005" w:type="dxa"/>
            <w:gridSpan w:val="2"/>
            <w:tcBorders>
              <w:top w:val="single" w:color="000000" w:sz="4" w:space="0"/>
              <w:left w:val="single" w:color="000000" w:sz="4" w:space="0"/>
              <w:bottom w:val="single" w:color="000000" w:sz="4" w:space="0"/>
              <w:right w:val="single" w:color="000000" w:sz="4" w:space="0"/>
            </w:tcBorders>
            <w:noWrap w:val="0"/>
            <w:vAlign w:val="center"/>
          </w:tcPr>
          <w:p w14:paraId="330C18E0">
            <w:pPr>
              <w:jc w:val="both"/>
              <w:rPr>
                <w:rFonts w:hint="eastAsia" w:ascii="Times New Roman" w:hAnsi="Times New Roman" w:eastAsia="仿宋_GB2312" w:cs="Times New Roman"/>
                <w:i w:val="0"/>
                <w:color w:val="auto"/>
                <w:sz w:val="22"/>
                <w:szCs w:val="22"/>
              </w:rPr>
            </w:pPr>
          </w:p>
        </w:tc>
      </w:tr>
      <w:tr w14:paraId="3002C8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85" w:hRule="atLeast"/>
        </w:trPr>
        <w:tc>
          <w:tcPr>
            <w:tcW w:w="720" w:type="dxa"/>
            <w:vMerge w:val="restart"/>
            <w:tcBorders>
              <w:top w:val="single" w:color="000000" w:sz="4" w:space="0"/>
              <w:left w:val="single" w:color="000000" w:sz="4" w:space="0"/>
              <w:bottom w:val="single" w:color="000000" w:sz="4" w:space="0"/>
              <w:right w:val="single" w:color="000000" w:sz="4" w:space="0"/>
            </w:tcBorders>
            <w:noWrap w:val="0"/>
            <w:vAlign w:val="center"/>
          </w:tcPr>
          <w:p w14:paraId="0578ABC1">
            <w:pPr>
              <w:widowControl/>
              <w:jc w:val="center"/>
              <w:textAlignment w:val="center"/>
              <w:rPr>
                <w:rFonts w:hint="eastAsia" w:ascii="Times New Roman" w:hAnsi="Times New Roman" w:eastAsia="仿宋_GB2312" w:cs="Times New Roman"/>
                <w:i w:val="0"/>
                <w:color w:val="auto"/>
                <w:sz w:val="22"/>
                <w:szCs w:val="22"/>
              </w:rPr>
            </w:pPr>
            <w:r>
              <w:rPr>
                <w:rFonts w:hint="eastAsia" w:ascii="Times New Roman" w:hAnsi="Times New Roman" w:eastAsia="仿宋_GB2312" w:cs="Times New Roman"/>
                <w:i w:val="0"/>
                <w:color w:val="auto"/>
                <w:kern w:val="0"/>
                <w:sz w:val="22"/>
                <w:szCs w:val="22"/>
                <w:lang w:val="en-US" w:eastAsia="zh-CN" w:bidi="ar-SA"/>
              </w:rPr>
              <w:t>1</w:t>
            </w:r>
          </w:p>
        </w:tc>
        <w:tc>
          <w:tcPr>
            <w:tcW w:w="1551" w:type="dxa"/>
            <w:vMerge w:val="restart"/>
            <w:tcBorders>
              <w:top w:val="single" w:color="000000" w:sz="4" w:space="0"/>
              <w:left w:val="single" w:color="000000" w:sz="4" w:space="0"/>
              <w:bottom w:val="single" w:color="000000" w:sz="4" w:space="0"/>
              <w:right w:val="single" w:color="000000" w:sz="4" w:space="0"/>
            </w:tcBorders>
            <w:noWrap w:val="0"/>
            <w:vAlign w:val="center"/>
          </w:tcPr>
          <w:p w14:paraId="79E53051">
            <w:pPr>
              <w:widowControl/>
              <w:jc w:val="center"/>
              <w:textAlignment w:val="center"/>
              <w:rPr>
                <w:rFonts w:hint="eastAsia" w:ascii="Times New Roman" w:hAnsi="Times New Roman" w:eastAsia="仿宋_GB2312" w:cs="Times New Roman"/>
                <w:i w:val="0"/>
                <w:color w:val="auto"/>
                <w:sz w:val="22"/>
                <w:szCs w:val="22"/>
              </w:rPr>
            </w:pPr>
            <w:r>
              <w:rPr>
                <w:rFonts w:hint="eastAsia" w:ascii="Times New Roman" w:hAnsi="Times New Roman" w:eastAsia="仿宋_GB2312" w:cs="Times New Roman"/>
                <w:i w:val="0"/>
                <w:color w:val="auto"/>
                <w:kern w:val="0"/>
                <w:sz w:val="22"/>
                <w:szCs w:val="22"/>
                <w:lang w:val="en-US" w:eastAsia="zh-CN" w:bidi="ar-SA"/>
              </w:rPr>
              <w:t>消防CRT系统</w:t>
            </w:r>
          </w:p>
        </w:tc>
        <w:tc>
          <w:tcPr>
            <w:tcW w:w="3705" w:type="dxa"/>
            <w:gridSpan w:val="3"/>
            <w:vMerge w:val="restart"/>
            <w:tcBorders>
              <w:top w:val="single" w:color="000000" w:sz="4" w:space="0"/>
              <w:left w:val="single" w:color="000000" w:sz="4" w:space="0"/>
              <w:bottom w:val="single" w:color="000000" w:sz="4" w:space="0"/>
              <w:right w:val="single" w:color="000000" w:sz="4" w:space="0"/>
            </w:tcBorders>
            <w:noWrap w:val="0"/>
            <w:vAlign w:val="top"/>
          </w:tcPr>
          <w:p w14:paraId="3053C0EB">
            <w:pPr>
              <w:widowControl/>
              <w:jc w:val="both"/>
              <w:textAlignment w:val="top"/>
              <w:rPr>
                <w:rFonts w:hint="eastAsia" w:ascii="Times New Roman" w:hAnsi="Times New Roman" w:eastAsia="仿宋_GB2312" w:cs="Times New Roman"/>
                <w:i w:val="0"/>
                <w:color w:val="auto"/>
                <w:sz w:val="22"/>
                <w:szCs w:val="22"/>
              </w:rPr>
            </w:pPr>
            <w:r>
              <w:rPr>
                <w:rFonts w:hint="eastAsia" w:ascii="Times New Roman" w:hAnsi="Times New Roman" w:eastAsia="仿宋_GB2312" w:cs="Times New Roman"/>
                <w:i w:val="0"/>
                <w:color w:val="auto"/>
                <w:kern w:val="0"/>
                <w:sz w:val="22"/>
                <w:szCs w:val="22"/>
                <w:lang w:val="en-US" w:eastAsia="zh-CN" w:bidi="ar-SA"/>
              </w:rPr>
              <w:t>系统内软件运行稳定，各功能正常有效，中文地址描述完整，否则扣2分</w:t>
            </w:r>
          </w:p>
        </w:tc>
        <w:tc>
          <w:tcPr>
            <w:tcW w:w="1035" w:type="dxa"/>
            <w:vMerge w:val="restart"/>
            <w:tcBorders>
              <w:top w:val="single" w:color="000000" w:sz="4" w:space="0"/>
              <w:left w:val="single" w:color="000000" w:sz="4" w:space="0"/>
              <w:bottom w:val="single" w:color="000000" w:sz="4" w:space="0"/>
              <w:right w:val="single" w:color="000000" w:sz="4" w:space="0"/>
            </w:tcBorders>
            <w:noWrap w:val="0"/>
            <w:vAlign w:val="center"/>
          </w:tcPr>
          <w:p w14:paraId="154607C8">
            <w:pPr>
              <w:widowControl/>
              <w:jc w:val="center"/>
              <w:textAlignment w:val="center"/>
              <w:rPr>
                <w:rFonts w:hint="eastAsia" w:ascii="Times New Roman" w:hAnsi="Times New Roman" w:eastAsia="仿宋_GB2312" w:cs="Times New Roman"/>
                <w:i w:val="0"/>
                <w:color w:val="auto"/>
                <w:sz w:val="22"/>
                <w:szCs w:val="22"/>
              </w:rPr>
            </w:pPr>
            <w:r>
              <w:rPr>
                <w:rFonts w:hint="eastAsia" w:ascii="Times New Roman" w:hAnsi="Times New Roman" w:eastAsia="仿宋_GB2312" w:cs="Times New Roman"/>
                <w:i w:val="0"/>
                <w:color w:val="auto"/>
                <w:kern w:val="0"/>
                <w:sz w:val="22"/>
                <w:szCs w:val="22"/>
                <w:lang w:val="en-US" w:eastAsia="zh-CN" w:bidi="ar-SA"/>
              </w:rPr>
              <w:t>2</w:t>
            </w:r>
          </w:p>
        </w:tc>
        <w:tc>
          <w:tcPr>
            <w:tcW w:w="930" w:type="dxa"/>
            <w:vMerge w:val="restart"/>
            <w:tcBorders>
              <w:top w:val="single" w:color="000000" w:sz="4" w:space="0"/>
              <w:left w:val="single" w:color="000000" w:sz="4" w:space="0"/>
              <w:bottom w:val="single" w:color="000000" w:sz="4" w:space="0"/>
              <w:right w:val="single" w:color="000000" w:sz="4" w:space="0"/>
            </w:tcBorders>
            <w:noWrap w:val="0"/>
            <w:vAlign w:val="top"/>
          </w:tcPr>
          <w:p w14:paraId="48AA259C">
            <w:pPr>
              <w:jc w:val="both"/>
              <w:rPr>
                <w:rFonts w:hint="eastAsia" w:ascii="Times New Roman" w:hAnsi="Times New Roman" w:eastAsia="仿宋_GB2312" w:cs="Times New Roman"/>
                <w:i w:val="0"/>
                <w:color w:val="auto"/>
                <w:sz w:val="22"/>
                <w:szCs w:val="22"/>
              </w:rPr>
            </w:pPr>
          </w:p>
        </w:tc>
        <w:tc>
          <w:tcPr>
            <w:tcW w:w="1005" w:type="dxa"/>
            <w:gridSpan w:val="2"/>
            <w:vMerge w:val="restart"/>
            <w:tcBorders>
              <w:top w:val="single" w:color="000000" w:sz="4" w:space="0"/>
              <w:left w:val="single" w:color="000000" w:sz="4" w:space="0"/>
              <w:bottom w:val="single" w:color="000000" w:sz="4" w:space="0"/>
              <w:right w:val="single" w:color="000000" w:sz="4" w:space="0"/>
            </w:tcBorders>
            <w:noWrap w:val="0"/>
            <w:vAlign w:val="top"/>
          </w:tcPr>
          <w:p w14:paraId="2C6A9EB3">
            <w:pPr>
              <w:jc w:val="both"/>
              <w:rPr>
                <w:rFonts w:hint="eastAsia" w:ascii="Times New Roman" w:hAnsi="Times New Roman" w:eastAsia="仿宋_GB2312" w:cs="Times New Roman"/>
                <w:i w:val="0"/>
                <w:color w:val="auto"/>
                <w:sz w:val="22"/>
                <w:szCs w:val="22"/>
              </w:rPr>
            </w:pPr>
          </w:p>
        </w:tc>
      </w:tr>
      <w:tr w14:paraId="576C99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0" w:hRule="atLeast"/>
        </w:trPr>
        <w:tc>
          <w:tcPr>
            <w:tcW w:w="720" w:type="dxa"/>
            <w:vMerge w:val="continue"/>
            <w:tcBorders>
              <w:top w:val="single" w:color="000000" w:sz="4" w:space="0"/>
              <w:left w:val="single" w:color="000000" w:sz="4" w:space="0"/>
              <w:bottom w:val="single" w:color="000000" w:sz="4" w:space="0"/>
              <w:right w:val="single" w:color="000000" w:sz="4" w:space="0"/>
            </w:tcBorders>
            <w:noWrap w:val="0"/>
            <w:vAlign w:val="center"/>
          </w:tcPr>
          <w:p w14:paraId="599950EA">
            <w:pPr>
              <w:jc w:val="center"/>
              <w:rPr>
                <w:rFonts w:hint="eastAsia" w:ascii="Times New Roman" w:hAnsi="Times New Roman" w:eastAsia="仿宋_GB2312" w:cs="Times New Roman"/>
                <w:i w:val="0"/>
                <w:color w:val="auto"/>
                <w:sz w:val="22"/>
                <w:szCs w:val="22"/>
              </w:rPr>
            </w:pPr>
          </w:p>
        </w:tc>
        <w:tc>
          <w:tcPr>
            <w:tcW w:w="1551" w:type="dxa"/>
            <w:vMerge w:val="continue"/>
            <w:tcBorders>
              <w:top w:val="single" w:color="000000" w:sz="4" w:space="0"/>
              <w:left w:val="single" w:color="000000" w:sz="4" w:space="0"/>
              <w:bottom w:val="single" w:color="000000" w:sz="4" w:space="0"/>
              <w:right w:val="single" w:color="000000" w:sz="4" w:space="0"/>
            </w:tcBorders>
            <w:noWrap w:val="0"/>
            <w:vAlign w:val="center"/>
          </w:tcPr>
          <w:p w14:paraId="7853D194">
            <w:pPr>
              <w:jc w:val="center"/>
              <w:rPr>
                <w:rFonts w:hint="eastAsia" w:ascii="Times New Roman" w:hAnsi="Times New Roman" w:eastAsia="仿宋_GB2312" w:cs="Times New Roman"/>
                <w:i w:val="0"/>
                <w:color w:val="auto"/>
                <w:sz w:val="22"/>
                <w:szCs w:val="22"/>
              </w:rPr>
            </w:pPr>
          </w:p>
        </w:tc>
        <w:tc>
          <w:tcPr>
            <w:tcW w:w="3705" w:type="dxa"/>
            <w:gridSpan w:val="3"/>
            <w:vMerge w:val="continue"/>
            <w:tcBorders>
              <w:top w:val="single" w:color="000000" w:sz="4" w:space="0"/>
              <w:left w:val="single" w:color="000000" w:sz="4" w:space="0"/>
              <w:bottom w:val="single" w:color="000000" w:sz="4" w:space="0"/>
              <w:right w:val="single" w:color="000000" w:sz="4" w:space="0"/>
            </w:tcBorders>
            <w:noWrap w:val="0"/>
            <w:vAlign w:val="top"/>
          </w:tcPr>
          <w:p w14:paraId="51BA33C9">
            <w:pPr>
              <w:jc w:val="both"/>
              <w:rPr>
                <w:rFonts w:hint="eastAsia" w:ascii="Times New Roman" w:hAnsi="Times New Roman" w:eastAsia="仿宋_GB2312" w:cs="Times New Roman"/>
                <w:i w:val="0"/>
                <w:color w:val="auto"/>
                <w:sz w:val="22"/>
                <w:szCs w:val="22"/>
              </w:rPr>
            </w:pPr>
          </w:p>
        </w:tc>
        <w:tc>
          <w:tcPr>
            <w:tcW w:w="1035" w:type="dxa"/>
            <w:vMerge w:val="continue"/>
            <w:tcBorders>
              <w:top w:val="single" w:color="000000" w:sz="4" w:space="0"/>
              <w:left w:val="single" w:color="000000" w:sz="4" w:space="0"/>
              <w:bottom w:val="single" w:color="000000" w:sz="4" w:space="0"/>
              <w:right w:val="single" w:color="000000" w:sz="4" w:space="0"/>
            </w:tcBorders>
            <w:noWrap w:val="0"/>
            <w:vAlign w:val="center"/>
          </w:tcPr>
          <w:p w14:paraId="496B3F97">
            <w:pPr>
              <w:jc w:val="center"/>
              <w:rPr>
                <w:rFonts w:hint="eastAsia" w:ascii="Times New Roman" w:hAnsi="Times New Roman" w:eastAsia="仿宋_GB2312" w:cs="Times New Roman"/>
                <w:i w:val="0"/>
                <w:color w:val="auto"/>
                <w:sz w:val="22"/>
                <w:szCs w:val="22"/>
              </w:rPr>
            </w:pPr>
          </w:p>
        </w:tc>
        <w:tc>
          <w:tcPr>
            <w:tcW w:w="930" w:type="dxa"/>
            <w:vMerge w:val="continue"/>
            <w:tcBorders>
              <w:top w:val="single" w:color="000000" w:sz="4" w:space="0"/>
              <w:left w:val="single" w:color="000000" w:sz="4" w:space="0"/>
              <w:bottom w:val="single" w:color="000000" w:sz="4" w:space="0"/>
              <w:right w:val="single" w:color="000000" w:sz="4" w:space="0"/>
            </w:tcBorders>
            <w:noWrap w:val="0"/>
            <w:vAlign w:val="top"/>
          </w:tcPr>
          <w:p w14:paraId="13B636A2">
            <w:pPr>
              <w:jc w:val="both"/>
              <w:rPr>
                <w:rFonts w:hint="eastAsia" w:ascii="Times New Roman" w:hAnsi="Times New Roman" w:eastAsia="仿宋_GB2312" w:cs="Times New Roman"/>
                <w:i w:val="0"/>
                <w:color w:val="auto"/>
                <w:sz w:val="22"/>
                <w:szCs w:val="22"/>
              </w:rPr>
            </w:pPr>
          </w:p>
        </w:tc>
        <w:tc>
          <w:tcPr>
            <w:tcW w:w="1005" w:type="dxa"/>
            <w:gridSpan w:val="2"/>
            <w:vMerge w:val="continue"/>
            <w:tcBorders>
              <w:top w:val="single" w:color="000000" w:sz="4" w:space="0"/>
              <w:left w:val="single" w:color="000000" w:sz="4" w:space="0"/>
              <w:bottom w:val="single" w:color="000000" w:sz="4" w:space="0"/>
              <w:right w:val="single" w:color="000000" w:sz="4" w:space="0"/>
            </w:tcBorders>
            <w:noWrap w:val="0"/>
            <w:vAlign w:val="top"/>
          </w:tcPr>
          <w:p w14:paraId="60CBC11B">
            <w:pPr>
              <w:jc w:val="both"/>
              <w:rPr>
                <w:rFonts w:hint="eastAsia" w:ascii="Times New Roman" w:hAnsi="Times New Roman" w:eastAsia="仿宋_GB2312" w:cs="Times New Roman"/>
                <w:i w:val="0"/>
                <w:color w:val="auto"/>
                <w:sz w:val="22"/>
                <w:szCs w:val="22"/>
              </w:rPr>
            </w:pPr>
          </w:p>
        </w:tc>
      </w:tr>
      <w:tr w14:paraId="63949A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855" w:hRule="atLeast"/>
        </w:trPr>
        <w:tc>
          <w:tcPr>
            <w:tcW w:w="720" w:type="dxa"/>
            <w:vMerge w:val="restart"/>
            <w:tcBorders>
              <w:top w:val="single" w:color="000000" w:sz="4" w:space="0"/>
              <w:left w:val="single" w:color="000000" w:sz="4" w:space="0"/>
              <w:bottom w:val="single" w:color="000000" w:sz="4" w:space="0"/>
              <w:right w:val="single" w:color="000000" w:sz="4" w:space="0"/>
            </w:tcBorders>
            <w:noWrap w:val="0"/>
            <w:vAlign w:val="center"/>
          </w:tcPr>
          <w:p w14:paraId="36F231CD">
            <w:pPr>
              <w:widowControl/>
              <w:jc w:val="center"/>
              <w:textAlignment w:val="center"/>
              <w:rPr>
                <w:rFonts w:hint="eastAsia" w:ascii="Times New Roman" w:hAnsi="Times New Roman" w:eastAsia="仿宋_GB2312" w:cs="Times New Roman"/>
                <w:i w:val="0"/>
                <w:color w:val="auto"/>
                <w:sz w:val="22"/>
                <w:szCs w:val="22"/>
              </w:rPr>
            </w:pPr>
            <w:r>
              <w:rPr>
                <w:rFonts w:hint="eastAsia" w:ascii="Times New Roman" w:hAnsi="Times New Roman" w:eastAsia="仿宋_GB2312" w:cs="Times New Roman"/>
                <w:i w:val="0"/>
                <w:color w:val="auto"/>
                <w:kern w:val="0"/>
                <w:sz w:val="22"/>
                <w:szCs w:val="22"/>
                <w:lang w:val="en-US" w:eastAsia="zh-CN" w:bidi="ar-SA"/>
              </w:rPr>
              <w:t>2</w:t>
            </w:r>
          </w:p>
        </w:tc>
        <w:tc>
          <w:tcPr>
            <w:tcW w:w="1551" w:type="dxa"/>
            <w:vMerge w:val="restart"/>
            <w:tcBorders>
              <w:top w:val="single" w:color="000000" w:sz="4" w:space="0"/>
              <w:left w:val="single" w:color="000000" w:sz="4" w:space="0"/>
              <w:bottom w:val="single" w:color="000000" w:sz="4" w:space="0"/>
              <w:right w:val="single" w:color="000000" w:sz="4" w:space="0"/>
            </w:tcBorders>
            <w:noWrap w:val="0"/>
            <w:vAlign w:val="center"/>
          </w:tcPr>
          <w:p w14:paraId="54A7D17B">
            <w:pPr>
              <w:widowControl/>
              <w:jc w:val="center"/>
              <w:textAlignment w:val="center"/>
              <w:rPr>
                <w:rFonts w:hint="eastAsia" w:ascii="Times New Roman" w:hAnsi="Times New Roman" w:eastAsia="仿宋_GB2312" w:cs="Times New Roman"/>
                <w:i w:val="0"/>
                <w:color w:val="auto"/>
                <w:sz w:val="22"/>
                <w:szCs w:val="22"/>
              </w:rPr>
            </w:pPr>
            <w:r>
              <w:rPr>
                <w:rFonts w:hint="eastAsia" w:ascii="Times New Roman" w:hAnsi="Times New Roman" w:eastAsia="仿宋_GB2312" w:cs="Times New Roman"/>
                <w:i w:val="0"/>
                <w:color w:val="auto"/>
                <w:kern w:val="0"/>
                <w:sz w:val="22"/>
                <w:szCs w:val="22"/>
                <w:lang w:val="en-US" w:eastAsia="zh-CN" w:bidi="ar-SA"/>
              </w:rPr>
              <w:t>维修保养服务完成情况书面报告</w:t>
            </w:r>
          </w:p>
        </w:tc>
        <w:tc>
          <w:tcPr>
            <w:tcW w:w="3705" w:type="dxa"/>
            <w:gridSpan w:val="3"/>
            <w:vMerge w:val="restart"/>
            <w:tcBorders>
              <w:top w:val="single" w:color="000000" w:sz="4" w:space="0"/>
              <w:left w:val="single" w:color="000000" w:sz="4" w:space="0"/>
              <w:bottom w:val="single" w:color="000000" w:sz="4" w:space="0"/>
              <w:right w:val="single" w:color="000000" w:sz="4" w:space="0"/>
            </w:tcBorders>
            <w:noWrap w:val="0"/>
            <w:vAlign w:val="top"/>
          </w:tcPr>
          <w:p w14:paraId="592E6F5D">
            <w:pPr>
              <w:widowControl/>
              <w:jc w:val="both"/>
              <w:textAlignment w:val="top"/>
              <w:rPr>
                <w:rFonts w:hint="eastAsia" w:ascii="Times New Roman" w:hAnsi="Times New Roman" w:eastAsia="仿宋_GB2312" w:cs="Times New Roman"/>
                <w:i w:val="0"/>
                <w:color w:val="auto"/>
                <w:sz w:val="22"/>
                <w:szCs w:val="22"/>
              </w:rPr>
            </w:pPr>
            <w:r>
              <w:rPr>
                <w:rFonts w:hint="eastAsia" w:ascii="Times New Roman" w:hAnsi="Times New Roman" w:eastAsia="仿宋_GB2312" w:cs="Times New Roman"/>
                <w:i w:val="0"/>
                <w:color w:val="auto"/>
                <w:kern w:val="0"/>
                <w:sz w:val="22"/>
                <w:szCs w:val="22"/>
                <w:lang w:val="en-US" w:eastAsia="zh-CN" w:bidi="ar-SA"/>
              </w:rPr>
              <w:t>是否月度、季度、半年、年度完成检查、维修、保养工作并提交书面报告，缺少一次扣2分</w:t>
            </w:r>
          </w:p>
        </w:tc>
        <w:tc>
          <w:tcPr>
            <w:tcW w:w="1035" w:type="dxa"/>
            <w:vMerge w:val="restart"/>
            <w:tcBorders>
              <w:top w:val="single" w:color="000000" w:sz="4" w:space="0"/>
              <w:left w:val="single" w:color="000000" w:sz="4" w:space="0"/>
              <w:bottom w:val="single" w:color="000000" w:sz="4" w:space="0"/>
              <w:right w:val="single" w:color="000000" w:sz="4" w:space="0"/>
            </w:tcBorders>
            <w:noWrap w:val="0"/>
            <w:vAlign w:val="center"/>
          </w:tcPr>
          <w:p w14:paraId="29949085">
            <w:pPr>
              <w:widowControl/>
              <w:jc w:val="center"/>
              <w:textAlignment w:val="center"/>
              <w:rPr>
                <w:rFonts w:hint="eastAsia" w:ascii="Times New Roman" w:hAnsi="Times New Roman" w:eastAsia="仿宋_GB2312" w:cs="Times New Roman"/>
                <w:i w:val="0"/>
                <w:color w:val="auto"/>
                <w:sz w:val="22"/>
                <w:szCs w:val="22"/>
              </w:rPr>
            </w:pPr>
            <w:r>
              <w:rPr>
                <w:rFonts w:hint="eastAsia" w:ascii="Times New Roman" w:hAnsi="Times New Roman" w:eastAsia="仿宋_GB2312" w:cs="Times New Roman"/>
                <w:i w:val="0"/>
                <w:color w:val="auto"/>
                <w:kern w:val="0"/>
                <w:sz w:val="22"/>
                <w:szCs w:val="22"/>
                <w:lang w:val="en-US" w:eastAsia="zh-CN" w:bidi="ar-SA"/>
              </w:rPr>
              <w:t>4</w:t>
            </w:r>
          </w:p>
        </w:tc>
        <w:tc>
          <w:tcPr>
            <w:tcW w:w="930" w:type="dxa"/>
            <w:vMerge w:val="restart"/>
            <w:tcBorders>
              <w:top w:val="single" w:color="000000" w:sz="4" w:space="0"/>
              <w:left w:val="single" w:color="000000" w:sz="4" w:space="0"/>
              <w:bottom w:val="single" w:color="000000" w:sz="4" w:space="0"/>
              <w:right w:val="single" w:color="000000" w:sz="4" w:space="0"/>
            </w:tcBorders>
            <w:noWrap w:val="0"/>
            <w:vAlign w:val="top"/>
          </w:tcPr>
          <w:p w14:paraId="354F22DA">
            <w:pPr>
              <w:jc w:val="both"/>
              <w:rPr>
                <w:rFonts w:hint="eastAsia" w:ascii="Times New Roman" w:hAnsi="Times New Roman" w:eastAsia="仿宋_GB2312" w:cs="Times New Roman"/>
                <w:i w:val="0"/>
                <w:color w:val="auto"/>
                <w:sz w:val="22"/>
                <w:szCs w:val="22"/>
              </w:rPr>
            </w:pPr>
          </w:p>
        </w:tc>
        <w:tc>
          <w:tcPr>
            <w:tcW w:w="1005" w:type="dxa"/>
            <w:gridSpan w:val="2"/>
            <w:vMerge w:val="restart"/>
            <w:tcBorders>
              <w:top w:val="single" w:color="000000" w:sz="4" w:space="0"/>
              <w:left w:val="single" w:color="000000" w:sz="4" w:space="0"/>
              <w:bottom w:val="single" w:color="000000" w:sz="4" w:space="0"/>
              <w:right w:val="single" w:color="000000" w:sz="4" w:space="0"/>
            </w:tcBorders>
            <w:noWrap w:val="0"/>
            <w:vAlign w:val="top"/>
          </w:tcPr>
          <w:p w14:paraId="3FC5F475">
            <w:pPr>
              <w:jc w:val="both"/>
              <w:rPr>
                <w:rFonts w:hint="eastAsia" w:ascii="Times New Roman" w:hAnsi="Times New Roman" w:eastAsia="仿宋_GB2312" w:cs="Times New Roman"/>
                <w:i w:val="0"/>
                <w:color w:val="auto"/>
                <w:sz w:val="22"/>
                <w:szCs w:val="22"/>
              </w:rPr>
            </w:pPr>
          </w:p>
        </w:tc>
      </w:tr>
      <w:tr w14:paraId="12C310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noWrap w:val="0"/>
            <w:vAlign w:val="center"/>
          </w:tcPr>
          <w:p w14:paraId="0BFB4B41">
            <w:pPr>
              <w:jc w:val="center"/>
              <w:rPr>
                <w:rFonts w:hint="eastAsia" w:ascii="Times New Roman" w:hAnsi="Times New Roman" w:eastAsia="仿宋_GB2312" w:cs="Times New Roman"/>
                <w:i w:val="0"/>
                <w:color w:val="auto"/>
                <w:sz w:val="22"/>
                <w:szCs w:val="22"/>
              </w:rPr>
            </w:pPr>
          </w:p>
        </w:tc>
        <w:tc>
          <w:tcPr>
            <w:tcW w:w="1551" w:type="dxa"/>
            <w:vMerge w:val="continue"/>
            <w:tcBorders>
              <w:top w:val="single" w:color="000000" w:sz="4" w:space="0"/>
              <w:left w:val="single" w:color="000000" w:sz="4" w:space="0"/>
              <w:bottom w:val="single" w:color="000000" w:sz="4" w:space="0"/>
              <w:right w:val="single" w:color="000000" w:sz="4" w:space="0"/>
            </w:tcBorders>
            <w:noWrap w:val="0"/>
            <w:vAlign w:val="center"/>
          </w:tcPr>
          <w:p w14:paraId="1E8C4231">
            <w:pPr>
              <w:jc w:val="center"/>
              <w:rPr>
                <w:rFonts w:hint="eastAsia" w:ascii="Times New Roman" w:hAnsi="Times New Roman" w:eastAsia="仿宋_GB2312" w:cs="Times New Roman"/>
                <w:i w:val="0"/>
                <w:color w:val="auto"/>
                <w:sz w:val="22"/>
                <w:szCs w:val="22"/>
              </w:rPr>
            </w:pPr>
          </w:p>
        </w:tc>
        <w:tc>
          <w:tcPr>
            <w:tcW w:w="3705" w:type="dxa"/>
            <w:gridSpan w:val="3"/>
            <w:vMerge w:val="continue"/>
            <w:tcBorders>
              <w:top w:val="single" w:color="000000" w:sz="4" w:space="0"/>
              <w:left w:val="single" w:color="000000" w:sz="4" w:space="0"/>
              <w:bottom w:val="single" w:color="000000" w:sz="4" w:space="0"/>
              <w:right w:val="single" w:color="000000" w:sz="4" w:space="0"/>
            </w:tcBorders>
            <w:noWrap w:val="0"/>
            <w:vAlign w:val="top"/>
          </w:tcPr>
          <w:p w14:paraId="4B1A7A55">
            <w:pPr>
              <w:jc w:val="both"/>
              <w:rPr>
                <w:rFonts w:hint="eastAsia" w:ascii="Times New Roman" w:hAnsi="Times New Roman" w:eastAsia="仿宋_GB2312" w:cs="Times New Roman"/>
                <w:i w:val="0"/>
                <w:color w:val="auto"/>
                <w:sz w:val="22"/>
                <w:szCs w:val="22"/>
              </w:rPr>
            </w:pPr>
          </w:p>
        </w:tc>
        <w:tc>
          <w:tcPr>
            <w:tcW w:w="1035" w:type="dxa"/>
            <w:vMerge w:val="continue"/>
            <w:tcBorders>
              <w:top w:val="single" w:color="000000" w:sz="4" w:space="0"/>
              <w:left w:val="single" w:color="000000" w:sz="4" w:space="0"/>
              <w:bottom w:val="single" w:color="000000" w:sz="4" w:space="0"/>
              <w:right w:val="single" w:color="000000" w:sz="4" w:space="0"/>
            </w:tcBorders>
            <w:noWrap w:val="0"/>
            <w:vAlign w:val="center"/>
          </w:tcPr>
          <w:p w14:paraId="3F1184D0">
            <w:pPr>
              <w:jc w:val="center"/>
              <w:rPr>
                <w:rFonts w:hint="eastAsia" w:ascii="Times New Roman" w:hAnsi="Times New Roman" w:eastAsia="仿宋_GB2312" w:cs="Times New Roman"/>
                <w:i w:val="0"/>
                <w:color w:val="auto"/>
                <w:sz w:val="22"/>
                <w:szCs w:val="22"/>
              </w:rPr>
            </w:pPr>
          </w:p>
        </w:tc>
        <w:tc>
          <w:tcPr>
            <w:tcW w:w="930" w:type="dxa"/>
            <w:vMerge w:val="continue"/>
            <w:tcBorders>
              <w:top w:val="single" w:color="000000" w:sz="4" w:space="0"/>
              <w:left w:val="single" w:color="000000" w:sz="4" w:space="0"/>
              <w:bottom w:val="single" w:color="000000" w:sz="4" w:space="0"/>
              <w:right w:val="single" w:color="000000" w:sz="4" w:space="0"/>
            </w:tcBorders>
            <w:noWrap w:val="0"/>
            <w:vAlign w:val="top"/>
          </w:tcPr>
          <w:p w14:paraId="45A4B317">
            <w:pPr>
              <w:jc w:val="both"/>
              <w:rPr>
                <w:rFonts w:hint="eastAsia" w:ascii="Times New Roman" w:hAnsi="Times New Roman" w:eastAsia="仿宋_GB2312" w:cs="Times New Roman"/>
                <w:i w:val="0"/>
                <w:color w:val="auto"/>
                <w:sz w:val="22"/>
                <w:szCs w:val="22"/>
              </w:rPr>
            </w:pPr>
          </w:p>
        </w:tc>
        <w:tc>
          <w:tcPr>
            <w:tcW w:w="1005" w:type="dxa"/>
            <w:gridSpan w:val="2"/>
            <w:vMerge w:val="continue"/>
            <w:tcBorders>
              <w:top w:val="single" w:color="000000" w:sz="4" w:space="0"/>
              <w:left w:val="single" w:color="000000" w:sz="4" w:space="0"/>
              <w:bottom w:val="single" w:color="000000" w:sz="4" w:space="0"/>
              <w:right w:val="single" w:color="000000" w:sz="4" w:space="0"/>
            </w:tcBorders>
            <w:noWrap w:val="0"/>
            <w:vAlign w:val="top"/>
          </w:tcPr>
          <w:p w14:paraId="67AE4F6F">
            <w:pPr>
              <w:jc w:val="both"/>
              <w:rPr>
                <w:rFonts w:hint="eastAsia" w:ascii="Times New Roman" w:hAnsi="Times New Roman" w:eastAsia="仿宋_GB2312" w:cs="Times New Roman"/>
                <w:i w:val="0"/>
                <w:color w:val="auto"/>
                <w:sz w:val="22"/>
                <w:szCs w:val="22"/>
              </w:rPr>
            </w:pPr>
          </w:p>
        </w:tc>
      </w:tr>
      <w:tr w14:paraId="6DB7C2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870" w:hRule="atLeast"/>
        </w:trPr>
        <w:tc>
          <w:tcPr>
            <w:tcW w:w="720" w:type="dxa"/>
            <w:tcBorders>
              <w:top w:val="single" w:color="000000" w:sz="4" w:space="0"/>
              <w:left w:val="single" w:color="000000" w:sz="4" w:space="0"/>
              <w:bottom w:val="single" w:color="000000" w:sz="4" w:space="0"/>
              <w:right w:val="single" w:color="000000" w:sz="4" w:space="0"/>
            </w:tcBorders>
            <w:noWrap w:val="0"/>
            <w:vAlign w:val="center"/>
          </w:tcPr>
          <w:p w14:paraId="49B684D6">
            <w:pPr>
              <w:widowControl/>
              <w:jc w:val="center"/>
              <w:textAlignment w:val="center"/>
              <w:rPr>
                <w:rFonts w:hint="eastAsia" w:ascii="Times New Roman" w:hAnsi="Times New Roman" w:eastAsia="仿宋_GB2312" w:cs="Times New Roman"/>
                <w:i w:val="0"/>
                <w:color w:val="auto"/>
                <w:sz w:val="22"/>
                <w:szCs w:val="22"/>
              </w:rPr>
            </w:pPr>
            <w:r>
              <w:rPr>
                <w:rFonts w:hint="eastAsia" w:ascii="Times New Roman" w:hAnsi="Times New Roman" w:eastAsia="仿宋_GB2312" w:cs="Times New Roman"/>
                <w:i w:val="0"/>
                <w:color w:val="auto"/>
                <w:kern w:val="0"/>
                <w:sz w:val="22"/>
                <w:szCs w:val="22"/>
                <w:lang w:val="en-US" w:eastAsia="zh-CN" w:bidi="ar-SA"/>
              </w:rPr>
              <w:t>3</w:t>
            </w:r>
          </w:p>
        </w:tc>
        <w:tc>
          <w:tcPr>
            <w:tcW w:w="1551" w:type="dxa"/>
            <w:tcBorders>
              <w:top w:val="single" w:color="000000" w:sz="4" w:space="0"/>
              <w:left w:val="single" w:color="000000" w:sz="4" w:space="0"/>
              <w:bottom w:val="single" w:color="000000" w:sz="4" w:space="0"/>
              <w:right w:val="single" w:color="000000" w:sz="4" w:space="0"/>
            </w:tcBorders>
            <w:noWrap w:val="0"/>
            <w:vAlign w:val="center"/>
          </w:tcPr>
          <w:p w14:paraId="3F0368ED">
            <w:pPr>
              <w:widowControl/>
              <w:jc w:val="center"/>
              <w:textAlignment w:val="center"/>
              <w:rPr>
                <w:rFonts w:hint="eastAsia" w:ascii="Times New Roman" w:hAnsi="Times New Roman" w:eastAsia="仿宋_GB2312" w:cs="Times New Roman"/>
                <w:i w:val="0"/>
                <w:color w:val="auto"/>
                <w:sz w:val="22"/>
                <w:szCs w:val="22"/>
              </w:rPr>
            </w:pPr>
            <w:r>
              <w:rPr>
                <w:rFonts w:hint="eastAsia" w:ascii="Times New Roman" w:hAnsi="Times New Roman" w:eastAsia="仿宋_GB2312" w:cs="Times New Roman"/>
                <w:i w:val="0"/>
                <w:color w:val="auto"/>
                <w:kern w:val="0"/>
                <w:sz w:val="22"/>
                <w:szCs w:val="22"/>
                <w:lang w:val="en-US" w:eastAsia="zh-CN" w:bidi="ar-SA"/>
              </w:rPr>
              <w:t>服务档案</w:t>
            </w:r>
          </w:p>
        </w:tc>
        <w:tc>
          <w:tcPr>
            <w:tcW w:w="3705" w:type="dxa"/>
            <w:gridSpan w:val="3"/>
            <w:tcBorders>
              <w:top w:val="single" w:color="000000" w:sz="4" w:space="0"/>
              <w:left w:val="single" w:color="000000" w:sz="4" w:space="0"/>
              <w:bottom w:val="single" w:color="000000" w:sz="4" w:space="0"/>
              <w:right w:val="single" w:color="000000" w:sz="4" w:space="0"/>
            </w:tcBorders>
            <w:noWrap w:val="0"/>
            <w:vAlign w:val="top"/>
          </w:tcPr>
          <w:p w14:paraId="51CD29C6">
            <w:pPr>
              <w:widowControl/>
              <w:jc w:val="both"/>
              <w:textAlignment w:val="top"/>
              <w:rPr>
                <w:rFonts w:hint="eastAsia" w:ascii="Times New Roman" w:hAnsi="Times New Roman" w:eastAsia="仿宋_GB2312" w:cs="Times New Roman"/>
                <w:i w:val="0"/>
                <w:color w:val="auto"/>
                <w:sz w:val="22"/>
                <w:szCs w:val="22"/>
              </w:rPr>
            </w:pPr>
            <w:r>
              <w:rPr>
                <w:rFonts w:hint="eastAsia" w:ascii="Times New Roman" w:hAnsi="Times New Roman" w:eastAsia="仿宋_GB2312" w:cs="Times New Roman"/>
                <w:i w:val="0"/>
                <w:color w:val="auto"/>
                <w:kern w:val="0"/>
                <w:sz w:val="22"/>
                <w:szCs w:val="22"/>
                <w:lang w:val="en-US" w:eastAsia="zh-CN" w:bidi="ar-SA"/>
              </w:rPr>
              <w:t>是否建立服务档案，日常记录，台帐如实记录服务内容，缺少一次扣1分</w:t>
            </w:r>
          </w:p>
        </w:tc>
        <w:tc>
          <w:tcPr>
            <w:tcW w:w="1035" w:type="dxa"/>
            <w:tcBorders>
              <w:top w:val="single" w:color="000000" w:sz="4" w:space="0"/>
              <w:left w:val="single" w:color="000000" w:sz="4" w:space="0"/>
              <w:bottom w:val="single" w:color="000000" w:sz="4" w:space="0"/>
              <w:right w:val="single" w:color="000000" w:sz="4" w:space="0"/>
            </w:tcBorders>
            <w:noWrap w:val="0"/>
            <w:vAlign w:val="center"/>
          </w:tcPr>
          <w:p w14:paraId="50044382">
            <w:pPr>
              <w:widowControl/>
              <w:jc w:val="center"/>
              <w:textAlignment w:val="center"/>
              <w:rPr>
                <w:rFonts w:hint="eastAsia" w:ascii="Times New Roman" w:hAnsi="Times New Roman" w:eastAsia="仿宋_GB2312" w:cs="Times New Roman"/>
                <w:i w:val="0"/>
                <w:color w:val="auto"/>
                <w:sz w:val="22"/>
                <w:szCs w:val="22"/>
              </w:rPr>
            </w:pPr>
            <w:r>
              <w:rPr>
                <w:rFonts w:hint="eastAsia" w:ascii="Times New Roman" w:hAnsi="Times New Roman" w:eastAsia="仿宋_GB2312" w:cs="Times New Roman"/>
                <w:i w:val="0"/>
                <w:color w:val="auto"/>
                <w:kern w:val="0"/>
                <w:sz w:val="22"/>
                <w:szCs w:val="22"/>
                <w:lang w:val="en-US" w:eastAsia="zh-CN" w:bidi="ar-SA"/>
              </w:rPr>
              <w:t>7</w:t>
            </w:r>
          </w:p>
        </w:tc>
        <w:tc>
          <w:tcPr>
            <w:tcW w:w="930" w:type="dxa"/>
            <w:tcBorders>
              <w:top w:val="single" w:color="000000" w:sz="4" w:space="0"/>
              <w:left w:val="single" w:color="000000" w:sz="4" w:space="0"/>
              <w:bottom w:val="single" w:color="000000" w:sz="4" w:space="0"/>
              <w:right w:val="single" w:color="000000" w:sz="4" w:space="0"/>
            </w:tcBorders>
            <w:noWrap w:val="0"/>
            <w:vAlign w:val="top"/>
          </w:tcPr>
          <w:p w14:paraId="1E345D08">
            <w:pPr>
              <w:jc w:val="both"/>
              <w:rPr>
                <w:rFonts w:hint="eastAsia" w:ascii="Times New Roman" w:hAnsi="Times New Roman" w:eastAsia="仿宋_GB2312" w:cs="Times New Roman"/>
                <w:i w:val="0"/>
                <w:color w:val="auto"/>
                <w:sz w:val="22"/>
                <w:szCs w:val="22"/>
              </w:rPr>
            </w:pPr>
          </w:p>
        </w:tc>
        <w:tc>
          <w:tcPr>
            <w:tcW w:w="1005" w:type="dxa"/>
            <w:gridSpan w:val="2"/>
            <w:tcBorders>
              <w:top w:val="single" w:color="000000" w:sz="4" w:space="0"/>
              <w:left w:val="single" w:color="000000" w:sz="4" w:space="0"/>
              <w:bottom w:val="single" w:color="000000" w:sz="4" w:space="0"/>
              <w:right w:val="single" w:color="000000" w:sz="4" w:space="0"/>
            </w:tcBorders>
            <w:noWrap w:val="0"/>
            <w:vAlign w:val="top"/>
          </w:tcPr>
          <w:p w14:paraId="7B073A78">
            <w:pPr>
              <w:jc w:val="both"/>
              <w:rPr>
                <w:rFonts w:hint="eastAsia" w:ascii="Times New Roman" w:hAnsi="Times New Roman" w:eastAsia="仿宋_GB2312" w:cs="Times New Roman"/>
                <w:i w:val="0"/>
                <w:color w:val="auto"/>
                <w:sz w:val="22"/>
                <w:szCs w:val="22"/>
              </w:rPr>
            </w:pPr>
          </w:p>
        </w:tc>
      </w:tr>
      <w:tr w14:paraId="73B621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15" w:hRule="atLeast"/>
        </w:trPr>
        <w:tc>
          <w:tcPr>
            <w:tcW w:w="5976" w:type="dxa"/>
            <w:gridSpan w:val="5"/>
            <w:tcBorders>
              <w:top w:val="single" w:color="000000" w:sz="4" w:space="0"/>
              <w:left w:val="single" w:color="000000" w:sz="4" w:space="0"/>
              <w:bottom w:val="single" w:color="000000" w:sz="4" w:space="0"/>
              <w:right w:val="single" w:color="000000" w:sz="4" w:space="0"/>
            </w:tcBorders>
            <w:noWrap w:val="0"/>
            <w:vAlign w:val="center"/>
          </w:tcPr>
          <w:p w14:paraId="1F43A4B8">
            <w:pPr>
              <w:widowControl/>
              <w:jc w:val="left"/>
              <w:textAlignment w:val="center"/>
              <w:rPr>
                <w:rFonts w:hint="eastAsia" w:ascii="Times New Roman" w:hAnsi="Times New Roman" w:eastAsia="仿宋_GB2312" w:cs="Times New Roman"/>
                <w:i w:val="0"/>
                <w:color w:val="auto"/>
                <w:sz w:val="22"/>
                <w:szCs w:val="22"/>
              </w:rPr>
            </w:pPr>
            <w:r>
              <w:rPr>
                <w:rFonts w:hint="eastAsia" w:ascii="Times New Roman" w:hAnsi="Times New Roman" w:eastAsia="仿宋_GB2312" w:cs="Times New Roman"/>
                <w:i w:val="0"/>
                <w:color w:val="auto"/>
                <w:kern w:val="0"/>
                <w:sz w:val="22"/>
                <w:szCs w:val="22"/>
                <w:lang w:val="en-US" w:eastAsia="zh-CN" w:bidi="ar-SA"/>
              </w:rPr>
              <w:t>二、消防主机运行（现场复位后）</w:t>
            </w:r>
          </w:p>
        </w:tc>
        <w:tc>
          <w:tcPr>
            <w:tcW w:w="1035" w:type="dxa"/>
            <w:tcBorders>
              <w:top w:val="single" w:color="000000" w:sz="4" w:space="0"/>
              <w:left w:val="single" w:color="000000" w:sz="4" w:space="0"/>
              <w:bottom w:val="single" w:color="000000" w:sz="4" w:space="0"/>
              <w:right w:val="single" w:color="000000" w:sz="4" w:space="0"/>
            </w:tcBorders>
            <w:noWrap w:val="0"/>
            <w:vAlign w:val="center"/>
          </w:tcPr>
          <w:p w14:paraId="3A6472BD">
            <w:pPr>
              <w:widowControl/>
              <w:jc w:val="center"/>
              <w:textAlignment w:val="center"/>
              <w:rPr>
                <w:rFonts w:hint="eastAsia" w:ascii="Times New Roman" w:hAnsi="Times New Roman" w:eastAsia="仿宋_GB2312" w:cs="Times New Roman"/>
                <w:i w:val="0"/>
                <w:color w:val="auto"/>
                <w:sz w:val="22"/>
                <w:szCs w:val="22"/>
              </w:rPr>
            </w:pPr>
            <w:r>
              <w:rPr>
                <w:rFonts w:hint="eastAsia" w:ascii="Times New Roman" w:hAnsi="Times New Roman" w:eastAsia="仿宋_GB2312" w:cs="Times New Roman"/>
                <w:i w:val="0"/>
                <w:color w:val="auto"/>
                <w:kern w:val="0"/>
                <w:sz w:val="22"/>
                <w:szCs w:val="22"/>
                <w:lang w:val="en-US" w:eastAsia="zh-CN" w:bidi="ar-SA"/>
              </w:rPr>
              <w:t>10</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14:paraId="6F0EFC60">
            <w:pPr>
              <w:jc w:val="center"/>
              <w:rPr>
                <w:rFonts w:hint="eastAsia" w:ascii="Times New Roman" w:hAnsi="Times New Roman" w:eastAsia="仿宋_GB2312" w:cs="Times New Roman"/>
                <w:i w:val="0"/>
                <w:color w:val="auto"/>
                <w:sz w:val="22"/>
                <w:szCs w:val="22"/>
              </w:rPr>
            </w:pPr>
          </w:p>
        </w:tc>
        <w:tc>
          <w:tcPr>
            <w:tcW w:w="1005" w:type="dxa"/>
            <w:gridSpan w:val="2"/>
            <w:tcBorders>
              <w:top w:val="single" w:color="000000" w:sz="4" w:space="0"/>
              <w:left w:val="single" w:color="000000" w:sz="4" w:space="0"/>
              <w:bottom w:val="single" w:color="000000" w:sz="4" w:space="0"/>
              <w:right w:val="single" w:color="000000" w:sz="4" w:space="0"/>
            </w:tcBorders>
            <w:noWrap w:val="0"/>
            <w:vAlign w:val="center"/>
          </w:tcPr>
          <w:p w14:paraId="29FE0D29">
            <w:pPr>
              <w:jc w:val="both"/>
              <w:rPr>
                <w:rFonts w:hint="eastAsia" w:ascii="Times New Roman" w:hAnsi="Times New Roman" w:eastAsia="仿宋_GB2312" w:cs="Times New Roman"/>
                <w:i w:val="0"/>
                <w:color w:val="auto"/>
                <w:sz w:val="22"/>
                <w:szCs w:val="22"/>
              </w:rPr>
            </w:pPr>
          </w:p>
        </w:tc>
      </w:tr>
      <w:tr w14:paraId="5B6C1C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1"/>
          <w:wAfter w:w="15" w:type="dxa"/>
          <w:trHeight w:val="315" w:hRule="atLeast"/>
        </w:trPr>
        <w:tc>
          <w:tcPr>
            <w:tcW w:w="720" w:type="dxa"/>
            <w:vMerge w:val="restart"/>
            <w:tcBorders>
              <w:top w:val="single" w:color="000000" w:sz="4" w:space="0"/>
              <w:left w:val="single" w:color="000000" w:sz="4" w:space="0"/>
              <w:bottom w:val="single" w:color="000000" w:sz="4" w:space="0"/>
              <w:right w:val="single" w:color="000000" w:sz="4" w:space="0"/>
            </w:tcBorders>
            <w:noWrap w:val="0"/>
            <w:vAlign w:val="center"/>
          </w:tcPr>
          <w:p w14:paraId="5EA9C980">
            <w:pPr>
              <w:widowControl/>
              <w:jc w:val="center"/>
              <w:textAlignment w:val="center"/>
              <w:rPr>
                <w:rFonts w:hint="eastAsia" w:ascii="Times New Roman" w:hAnsi="Times New Roman" w:eastAsia="仿宋_GB2312" w:cs="Times New Roman"/>
                <w:i w:val="0"/>
                <w:color w:val="auto"/>
                <w:sz w:val="22"/>
                <w:szCs w:val="22"/>
              </w:rPr>
            </w:pPr>
            <w:r>
              <w:rPr>
                <w:rFonts w:hint="eastAsia" w:ascii="Times New Roman" w:hAnsi="Times New Roman" w:eastAsia="仿宋_GB2312" w:cs="Times New Roman"/>
                <w:i w:val="0"/>
                <w:color w:val="auto"/>
                <w:kern w:val="0"/>
                <w:sz w:val="22"/>
                <w:szCs w:val="22"/>
                <w:lang w:val="en-US" w:eastAsia="zh-CN" w:bidi="ar-SA"/>
              </w:rPr>
              <w:t>1</w:t>
            </w:r>
          </w:p>
        </w:tc>
        <w:tc>
          <w:tcPr>
            <w:tcW w:w="1566"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7A52F795">
            <w:pPr>
              <w:widowControl/>
              <w:jc w:val="center"/>
              <w:textAlignment w:val="center"/>
              <w:rPr>
                <w:rFonts w:hint="eastAsia" w:ascii="Times New Roman" w:hAnsi="Times New Roman" w:eastAsia="仿宋_GB2312" w:cs="Times New Roman"/>
                <w:i w:val="0"/>
                <w:color w:val="auto"/>
                <w:sz w:val="22"/>
                <w:szCs w:val="22"/>
              </w:rPr>
            </w:pPr>
            <w:r>
              <w:rPr>
                <w:rFonts w:hint="eastAsia" w:ascii="Times New Roman" w:hAnsi="Times New Roman" w:eastAsia="仿宋_GB2312" w:cs="Times New Roman"/>
                <w:i w:val="0"/>
                <w:color w:val="auto"/>
                <w:kern w:val="0"/>
                <w:sz w:val="22"/>
                <w:szCs w:val="22"/>
                <w:lang w:val="en-US" w:eastAsia="zh-CN" w:bidi="ar-SA"/>
              </w:rPr>
              <w:t>火警点位</w:t>
            </w:r>
          </w:p>
        </w:tc>
        <w:tc>
          <w:tcPr>
            <w:tcW w:w="3690"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5B1AADAE">
            <w:pPr>
              <w:widowControl/>
              <w:jc w:val="left"/>
              <w:textAlignment w:val="center"/>
              <w:rPr>
                <w:rFonts w:hint="eastAsia" w:ascii="Times New Roman" w:hAnsi="Times New Roman" w:eastAsia="仿宋_GB2312" w:cs="Times New Roman"/>
                <w:i w:val="0"/>
                <w:color w:val="auto"/>
                <w:sz w:val="22"/>
                <w:szCs w:val="22"/>
              </w:rPr>
            </w:pPr>
            <w:r>
              <w:rPr>
                <w:rFonts w:hint="eastAsia" w:ascii="Times New Roman" w:hAnsi="Times New Roman" w:eastAsia="仿宋_GB2312" w:cs="Times New Roman"/>
                <w:i w:val="0"/>
                <w:color w:val="auto"/>
                <w:kern w:val="0"/>
                <w:sz w:val="22"/>
                <w:szCs w:val="22"/>
                <w:lang w:val="en-US" w:eastAsia="zh-CN" w:bidi="ar-SA"/>
              </w:rPr>
              <w:t>主机运行不存在火警点位，否则扣2分</w:t>
            </w:r>
          </w:p>
        </w:tc>
        <w:tc>
          <w:tcPr>
            <w:tcW w:w="1035" w:type="dxa"/>
            <w:vMerge w:val="restart"/>
            <w:tcBorders>
              <w:top w:val="single" w:color="000000" w:sz="4" w:space="0"/>
              <w:left w:val="single" w:color="000000" w:sz="4" w:space="0"/>
              <w:bottom w:val="single" w:color="000000" w:sz="4" w:space="0"/>
              <w:right w:val="single" w:color="000000" w:sz="4" w:space="0"/>
            </w:tcBorders>
            <w:noWrap w:val="0"/>
            <w:vAlign w:val="center"/>
          </w:tcPr>
          <w:p w14:paraId="7684EAD0">
            <w:pPr>
              <w:widowControl/>
              <w:jc w:val="center"/>
              <w:textAlignment w:val="center"/>
              <w:rPr>
                <w:rFonts w:hint="eastAsia" w:ascii="Times New Roman" w:hAnsi="Times New Roman" w:eastAsia="仿宋_GB2312" w:cs="Times New Roman"/>
                <w:i w:val="0"/>
                <w:color w:val="auto"/>
                <w:sz w:val="22"/>
                <w:szCs w:val="22"/>
              </w:rPr>
            </w:pPr>
            <w:r>
              <w:rPr>
                <w:rFonts w:hint="eastAsia" w:ascii="Times New Roman" w:hAnsi="Times New Roman" w:eastAsia="仿宋_GB2312" w:cs="Times New Roman"/>
                <w:i w:val="0"/>
                <w:color w:val="auto"/>
                <w:kern w:val="0"/>
                <w:sz w:val="22"/>
                <w:szCs w:val="22"/>
                <w:lang w:val="en-US" w:eastAsia="zh-CN" w:bidi="ar-SA"/>
              </w:rPr>
              <w:t>2</w:t>
            </w:r>
          </w:p>
        </w:tc>
        <w:tc>
          <w:tcPr>
            <w:tcW w:w="930" w:type="dxa"/>
            <w:vMerge w:val="restart"/>
            <w:tcBorders>
              <w:top w:val="single" w:color="000000" w:sz="4" w:space="0"/>
              <w:left w:val="single" w:color="000000" w:sz="4" w:space="0"/>
              <w:bottom w:val="single" w:color="000000" w:sz="4" w:space="0"/>
              <w:right w:val="single" w:color="000000" w:sz="4" w:space="0"/>
            </w:tcBorders>
            <w:noWrap w:val="0"/>
            <w:vAlign w:val="top"/>
          </w:tcPr>
          <w:p w14:paraId="1EF22B15">
            <w:pPr>
              <w:jc w:val="both"/>
              <w:rPr>
                <w:rFonts w:hint="eastAsia" w:ascii="Times New Roman" w:hAnsi="Times New Roman" w:eastAsia="仿宋_GB2312" w:cs="Times New Roman"/>
                <w:i w:val="0"/>
                <w:color w:val="auto"/>
                <w:sz w:val="22"/>
                <w:szCs w:val="22"/>
              </w:rPr>
            </w:pPr>
          </w:p>
        </w:tc>
        <w:tc>
          <w:tcPr>
            <w:tcW w:w="990" w:type="dxa"/>
            <w:vMerge w:val="restart"/>
            <w:tcBorders>
              <w:top w:val="single" w:color="000000" w:sz="4" w:space="0"/>
              <w:left w:val="single" w:color="000000" w:sz="4" w:space="0"/>
              <w:bottom w:val="single" w:color="000000" w:sz="4" w:space="0"/>
              <w:right w:val="single" w:color="000000" w:sz="4" w:space="0"/>
            </w:tcBorders>
            <w:noWrap w:val="0"/>
            <w:vAlign w:val="top"/>
          </w:tcPr>
          <w:p w14:paraId="440E9D49">
            <w:pPr>
              <w:jc w:val="both"/>
              <w:rPr>
                <w:rFonts w:hint="eastAsia" w:ascii="Times New Roman" w:hAnsi="Times New Roman" w:eastAsia="仿宋_GB2312" w:cs="Times New Roman"/>
                <w:i w:val="0"/>
                <w:color w:val="auto"/>
                <w:sz w:val="22"/>
                <w:szCs w:val="22"/>
              </w:rPr>
            </w:pPr>
          </w:p>
        </w:tc>
      </w:tr>
      <w:tr w14:paraId="62C51B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1"/>
          <w:wAfter w:w="15" w:type="dxa"/>
          <w:trHeight w:val="285" w:hRule="atLeast"/>
        </w:trPr>
        <w:tc>
          <w:tcPr>
            <w:tcW w:w="720" w:type="dxa"/>
            <w:vMerge w:val="continue"/>
            <w:tcBorders>
              <w:top w:val="single" w:color="000000" w:sz="4" w:space="0"/>
              <w:left w:val="single" w:color="000000" w:sz="4" w:space="0"/>
              <w:bottom w:val="single" w:color="000000" w:sz="4" w:space="0"/>
              <w:right w:val="single" w:color="000000" w:sz="4" w:space="0"/>
            </w:tcBorders>
            <w:noWrap w:val="0"/>
            <w:vAlign w:val="center"/>
          </w:tcPr>
          <w:p w14:paraId="2A73C567">
            <w:pPr>
              <w:jc w:val="center"/>
              <w:rPr>
                <w:rFonts w:hint="eastAsia" w:ascii="Times New Roman" w:hAnsi="Times New Roman" w:eastAsia="仿宋_GB2312" w:cs="Times New Roman"/>
                <w:i w:val="0"/>
                <w:color w:val="auto"/>
                <w:sz w:val="22"/>
                <w:szCs w:val="22"/>
              </w:rPr>
            </w:pPr>
          </w:p>
        </w:tc>
        <w:tc>
          <w:tcPr>
            <w:tcW w:w="1566"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A967C95">
            <w:pPr>
              <w:jc w:val="center"/>
              <w:rPr>
                <w:rFonts w:hint="eastAsia" w:ascii="Times New Roman" w:hAnsi="Times New Roman" w:eastAsia="仿宋_GB2312" w:cs="Times New Roman"/>
                <w:i w:val="0"/>
                <w:color w:val="auto"/>
                <w:sz w:val="22"/>
                <w:szCs w:val="22"/>
              </w:rPr>
            </w:pPr>
          </w:p>
        </w:tc>
        <w:tc>
          <w:tcPr>
            <w:tcW w:w="3690"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FF709BB">
            <w:pPr>
              <w:jc w:val="left"/>
              <w:rPr>
                <w:rFonts w:hint="eastAsia" w:ascii="Times New Roman" w:hAnsi="Times New Roman" w:eastAsia="仿宋_GB2312" w:cs="Times New Roman"/>
                <w:i w:val="0"/>
                <w:color w:val="auto"/>
                <w:sz w:val="22"/>
                <w:szCs w:val="22"/>
              </w:rPr>
            </w:pPr>
          </w:p>
        </w:tc>
        <w:tc>
          <w:tcPr>
            <w:tcW w:w="1035" w:type="dxa"/>
            <w:vMerge w:val="continue"/>
            <w:tcBorders>
              <w:top w:val="single" w:color="000000" w:sz="4" w:space="0"/>
              <w:left w:val="single" w:color="000000" w:sz="4" w:space="0"/>
              <w:bottom w:val="single" w:color="000000" w:sz="4" w:space="0"/>
              <w:right w:val="single" w:color="000000" w:sz="4" w:space="0"/>
            </w:tcBorders>
            <w:noWrap w:val="0"/>
            <w:vAlign w:val="center"/>
          </w:tcPr>
          <w:p w14:paraId="2BD3BBCD">
            <w:pPr>
              <w:jc w:val="center"/>
              <w:rPr>
                <w:rFonts w:hint="eastAsia" w:ascii="Times New Roman" w:hAnsi="Times New Roman" w:eastAsia="仿宋_GB2312" w:cs="Times New Roman"/>
                <w:i w:val="0"/>
                <w:color w:val="auto"/>
                <w:sz w:val="22"/>
                <w:szCs w:val="22"/>
              </w:rPr>
            </w:pPr>
          </w:p>
        </w:tc>
        <w:tc>
          <w:tcPr>
            <w:tcW w:w="930" w:type="dxa"/>
            <w:vMerge w:val="continue"/>
            <w:tcBorders>
              <w:top w:val="single" w:color="000000" w:sz="4" w:space="0"/>
              <w:left w:val="single" w:color="000000" w:sz="4" w:space="0"/>
              <w:bottom w:val="single" w:color="000000" w:sz="4" w:space="0"/>
              <w:right w:val="single" w:color="000000" w:sz="4" w:space="0"/>
            </w:tcBorders>
            <w:noWrap w:val="0"/>
            <w:vAlign w:val="top"/>
          </w:tcPr>
          <w:p w14:paraId="42A0E78D">
            <w:pPr>
              <w:jc w:val="both"/>
              <w:rPr>
                <w:rFonts w:hint="eastAsia" w:ascii="Times New Roman" w:hAnsi="Times New Roman" w:eastAsia="仿宋_GB2312" w:cs="Times New Roman"/>
                <w:i w:val="0"/>
                <w:color w:val="auto"/>
                <w:sz w:val="22"/>
                <w:szCs w:val="22"/>
              </w:rPr>
            </w:pPr>
          </w:p>
        </w:tc>
        <w:tc>
          <w:tcPr>
            <w:tcW w:w="990" w:type="dxa"/>
            <w:vMerge w:val="continue"/>
            <w:tcBorders>
              <w:top w:val="single" w:color="000000" w:sz="4" w:space="0"/>
              <w:left w:val="single" w:color="000000" w:sz="4" w:space="0"/>
              <w:bottom w:val="single" w:color="000000" w:sz="4" w:space="0"/>
              <w:right w:val="single" w:color="000000" w:sz="4" w:space="0"/>
            </w:tcBorders>
            <w:noWrap w:val="0"/>
            <w:vAlign w:val="top"/>
          </w:tcPr>
          <w:p w14:paraId="32623D2D">
            <w:pPr>
              <w:jc w:val="both"/>
              <w:rPr>
                <w:rFonts w:hint="eastAsia" w:ascii="Times New Roman" w:hAnsi="Times New Roman" w:eastAsia="仿宋_GB2312" w:cs="Times New Roman"/>
                <w:i w:val="0"/>
                <w:color w:val="auto"/>
                <w:sz w:val="22"/>
                <w:szCs w:val="22"/>
              </w:rPr>
            </w:pPr>
          </w:p>
        </w:tc>
      </w:tr>
      <w:tr w14:paraId="750E76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1"/>
          <w:wAfter w:w="15" w:type="dxa"/>
          <w:trHeight w:val="315" w:hRule="atLeast"/>
        </w:trPr>
        <w:tc>
          <w:tcPr>
            <w:tcW w:w="720" w:type="dxa"/>
            <w:vMerge w:val="restart"/>
            <w:tcBorders>
              <w:top w:val="single" w:color="000000" w:sz="4" w:space="0"/>
              <w:left w:val="single" w:color="000000" w:sz="4" w:space="0"/>
              <w:bottom w:val="single" w:color="000000" w:sz="4" w:space="0"/>
              <w:right w:val="single" w:color="000000" w:sz="4" w:space="0"/>
            </w:tcBorders>
            <w:noWrap w:val="0"/>
            <w:vAlign w:val="center"/>
          </w:tcPr>
          <w:p w14:paraId="61A6BE74">
            <w:pPr>
              <w:widowControl/>
              <w:jc w:val="center"/>
              <w:textAlignment w:val="center"/>
              <w:rPr>
                <w:rFonts w:hint="eastAsia" w:ascii="Times New Roman" w:hAnsi="Times New Roman" w:eastAsia="仿宋_GB2312" w:cs="Times New Roman"/>
                <w:i w:val="0"/>
                <w:color w:val="auto"/>
                <w:sz w:val="22"/>
                <w:szCs w:val="22"/>
              </w:rPr>
            </w:pPr>
            <w:r>
              <w:rPr>
                <w:rFonts w:hint="eastAsia" w:ascii="Times New Roman" w:hAnsi="Times New Roman" w:eastAsia="仿宋_GB2312" w:cs="Times New Roman"/>
                <w:i w:val="0"/>
                <w:color w:val="auto"/>
                <w:kern w:val="0"/>
                <w:sz w:val="22"/>
                <w:szCs w:val="22"/>
                <w:lang w:val="en-US" w:eastAsia="zh-CN" w:bidi="ar-SA"/>
              </w:rPr>
              <w:t>2</w:t>
            </w:r>
          </w:p>
        </w:tc>
        <w:tc>
          <w:tcPr>
            <w:tcW w:w="1566"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461DB3DC">
            <w:pPr>
              <w:widowControl/>
              <w:jc w:val="center"/>
              <w:textAlignment w:val="center"/>
              <w:rPr>
                <w:rFonts w:hint="eastAsia" w:ascii="Times New Roman" w:hAnsi="Times New Roman" w:eastAsia="仿宋_GB2312" w:cs="Times New Roman"/>
                <w:i w:val="0"/>
                <w:color w:val="auto"/>
                <w:sz w:val="22"/>
                <w:szCs w:val="22"/>
              </w:rPr>
            </w:pPr>
            <w:r>
              <w:rPr>
                <w:rFonts w:hint="eastAsia" w:ascii="Times New Roman" w:hAnsi="Times New Roman" w:eastAsia="仿宋_GB2312" w:cs="Times New Roman"/>
                <w:i w:val="0"/>
                <w:color w:val="auto"/>
                <w:kern w:val="0"/>
                <w:sz w:val="22"/>
                <w:szCs w:val="22"/>
                <w:lang w:val="en-US" w:eastAsia="zh-CN" w:bidi="ar-SA"/>
              </w:rPr>
              <w:t>故障点位</w:t>
            </w:r>
          </w:p>
        </w:tc>
        <w:tc>
          <w:tcPr>
            <w:tcW w:w="3690"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7DD57281">
            <w:pPr>
              <w:widowControl/>
              <w:jc w:val="left"/>
              <w:textAlignment w:val="center"/>
              <w:rPr>
                <w:rFonts w:hint="eastAsia" w:ascii="Times New Roman" w:hAnsi="Times New Roman" w:eastAsia="仿宋_GB2312" w:cs="Times New Roman"/>
                <w:i w:val="0"/>
                <w:color w:val="auto"/>
                <w:sz w:val="22"/>
                <w:szCs w:val="22"/>
              </w:rPr>
            </w:pPr>
            <w:r>
              <w:rPr>
                <w:rFonts w:hint="eastAsia" w:ascii="Times New Roman" w:hAnsi="Times New Roman" w:eastAsia="仿宋_GB2312" w:cs="Times New Roman"/>
                <w:i w:val="0"/>
                <w:color w:val="auto"/>
                <w:kern w:val="0"/>
                <w:sz w:val="22"/>
                <w:szCs w:val="22"/>
                <w:lang w:val="en-US" w:eastAsia="zh-CN" w:bidi="ar-SA"/>
              </w:rPr>
              <w:t>主机运行不存在故障点位，否则扣2分</w:t>
            </w:r>
          </w:p>
        </w:tc>
        <w:tc>
          <w:tcPr>
            <w:tcW w:w="1035" w:type="dxa"/>
            <w:vMerge w:val="restart"/>
            <w:tcBorders>
              <w:top w:val="single" w:color="000000" w:sz="4" w:space="0"/>
              <w:left w:val="single" w:color="000000" w:sz="4" w:space="0"/>
              <w:bottom w:val="single" w:color="000000" w:sz="4" w:space="0"/>
              <w:right w:val="single" w:color="000000" w:sz="4" w:space="0"/>
            </w:tcBorders>
            <w:noWrap w:val="0"/>
            <w:vAlign w:val="center"/>
          </w:tcPr>
          <w:p w14:paraId="707CBD2D">
            <w:pPr>
              <w:widowControl/>
              <w:jc w:val="center"/>
              <w:textAlignment w:val="center"/>
              <w:rPr>
                <w:rFonts w:hint="eastAsia" w:ascii="Times New Roman" w:hAnsi="Times New Roman" w:eastAsia="仿宋_GB2312" w:cs="Times New Roman"/>
                <w:i w:val="0"/>
                <w:color w:val="auto"/>
                <w:sz w:val="22"/>
                <w:szCs w:val="22"/>
              </w:rPr>
            </w:pPr>
            <w:r>
              <w:rPr>
                <w:rFonts w:hint="eastAsia" w:ascii="Times New Roman" w:hAnsi="Times New Roman" w:eastAsia="仿宋_GB2312" w:cs="Times New Roman"/>
                <w:i w:val="0"/>
                <w:color w:val="auto"/>
                <w:kern w:val="0"/>
                <w:sz w:val="22"/>
                <w:szCs w:val="22"/>
                <w:lang w:val="en-US" w:eastAsia="zh-CN" w:bidi="ar-SA"/>
              </w:rPr>
              <w:t>2</w:t>
            </w:r>
          </w:p>
        </w:tc>
        <w:tc>
          <w:tcPr>
            <w:tcW w:w="930" w:type="dxa"/>
            <w:vMerge w:val="restart"/>
            <w:tcBorders>
              <w:top w:val="single" w:color="000000" w:sz="4" w:space="0"/>
              <w:left w:val="single" w:color="000000" w:sz="4" w:space="0"/>
              <w:bottom w:val="single" w:color="000000" w:sz="4" w:space="0"/>
              <w:right w:val="single" w:color="000000" w:sz="4" w:space="0"/>
            </w:tcBorders>
            <w:noWrap w:val="0"/>
            <w:vAlign w:val="top"/>
          </w:tcPr>
          <w:p w14:paraId="06C6FBB9">
            <w:pPr>
              <w:jc w:val="both"/>
              <w:rPr>
                <w:rFonts w:hint="eastAsia" w:ascii="Times New Roman" w:hAnsi="Times New Roman" w:eastAsia="仿宋_GB2312" w:cs="Times New Roman"/>
                <w:i w:val="0"/>
                <w:color w:val="auto"/>
                <w:sz w:val="22"/>
                <w:szCs w:val="22"/>
              </w:rPr>
            </w:pPr>
          </w:p>
        </w:tc>
        <w:tc>
          <w:tcPr>
            <w:tcW w:w="990" w:type="dxa"/>
            <w:vMerge w:val="restart"/>
            <w:tcBorders>
              <w:top w:val="single" w:color="000000" w:sz="4" w:space="0"/>
              <w:left w:val="single" w:color="000000" w:sz="4" w:space="0"/>
              <w:bottom w:val="single" w:color="000000" w:sz="4" w:space="0"/>
              <w:right w:val="single" w:color="000000" w:sz="4" w:space="0"/>
            </w:tcBorders>
            <w:noWrap w:val="0"/>
            <w:vAlign w:val="top"/>
          </w:tcPr>
          <w:p w14:paraId="3B3A9439">
            <w:pPr>
              <w:jc w:val="both"/>
              <w:rPr>
                <w:rFonts w:hint="eastAsia" w:ascii="Times New Roman" w:hAnsi="Times New Roman" w:eastAsia="仿宋_GB2312" w:cs="Times New Roman"/>
                <w:i w:val="0"/>
                <w:color w:val="auto"/>
                <w:sz w:val="22"/>
                <w:szCs w:val="22"/>
              </w:rPr>
            </w:pPr>
          </w:p>
        </w:tc>
      </w:tr>
      <w:tr w14:paraId="3DBA2F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1"/>
          <w:wAfter w:w="15" w:type="dxa"/>
          <w:trHeight w:val="285" w:hRule="atLeast"/>
        </w:trPr>
        <w:tc>
          <w:tcPr>
            <w:tcW w:w="720" w:type="dxa"/>
            <w:vMerge w:val="continue"/>
            <w:tcBorders>
              <w:top w:val="single" w:color="000000" w:sz="4" w:space="0"/>
              <w:left w:val="single" w:color="000000" w:sz="4" w:space="0"/>
              <w:bottom w:val="single" w:color="000000" w:sz="4" w:space="0"/>
              <w:right w:val="single" w:color="000000" w:sz="4" w:space="0"/>
            </w:tcBorders>
            <w:noWrap w:val="0"/>
            <w:vAlign w:val="center"/>
          </w:tcPr>
          <w:p w14:paraId="07C0C2FE">
            <w:pPr>
              <w:jc w:val="center"/>
              <w:rPr>
                <w:rFonts w:hint="eastAsia" w:ascii="Times New Roman" w:hAnsi="Times New Roman" w:eastAsia="仿宋_GB2312" w:cs="Times New Roman"/>
                <w:i w:val="0"/>
                <w:color w:val="auto"/>
                <w:sz w:val="22"/>
                <w:szCs w:val="22"/>
              </w:rPr>
            </w:pPr>
          </w:p>
        </w:tc>
        <w:tc>
          <w:tcPr>
            <w:tcW w:w="1566"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905DDF8">
            <w:pPr>
              <w:jc w:val="center"/>
              <w:rPr>
                <w:rFonts w:hint="eastAsia" w:ascii="Times New Roman" w:hAnsi="Times New Roman" w:eastAsia="仿宋_GB2312" w:cs="Times New Roman"/>
                <w:i w:val="0"/>
                <w:color w:val="auto"/>
                <w:sz w:val="22"/>
                <w:szCs w:val="22"/>
              </w:rPr>
            </w:pPr>
          </w:p>
        </w:tc>
        <w:tc>
          <w:tcPr>
            <w:tcW w:w="3690"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6C5E0F7B">
            <w:pPr>
              <w:jc w:val="left"/>
              <w:rPr>
                <w:rFonts w:hint="eastAsia" w:ascii="Times New Roman" w:hAnsi="Times New Roman" w:eastAsia="仿宋_GB2312" w:cs="Times New Roman"/>
                <w:i w:val="0"/>
                <w:color w:val="auto"/>
                <w:sz w:val="22"/>
                <w:szCs w:val="22"/>
              </w:rPr>
            </w:pPr>
          </w:p>
        </w:tc>
        <w:tc>
          <w:tcPr>
            <w:tcW w:w="1035" w:type="dxa"/>
            <w:vMerge w:val="continue"/>
            <w:tcBorders>
              <w:top w:val="single" w:color="000000" w:sz="4" w:space="0"/>
              <w:left w:val="single" w:color="000000" w:sz="4" w:space="0"/>
              <w:bottom w:val="single" w:color="000000" w:sz="4" w:space="0"/>
              <w:right w:val="single" w:color="000000" w:sz="4" w:space="0"/>
            </w:tcBorders>
            <w:noWrap w:val="0"/>
            <w:vAlign w:val="center"/>
          </w:tcPr>
          <w:p w14:paraId="2941E0A9">
            <w:pPr>
              <w:jc w:val="center"/>
              <w:rPr>
                <w:rFonts w:hint="eastAsia" w:ascii="Times New Roman" w:hAnsi="Times New Roman" w:eastAsia="仿宋_GB2312" w:cs="Times New Roman"/>
                <w:i w:val="0"/>
                <w:color w:val="auto"/>
                <w:sz w:val="22"/>
                <w:szCs w:val="22"/>
              </w:rPr>
            </w:pPr>
          </w:p>
        </w:tc>
        <w:tc>
          <w:tcPr>
            <w:tcW w:w="930" w:type="dxa"/>
            <w:vMerge w:val="continue"/>
            <w:tcBorders>
              <w:top w:val="single" w:color="000000" w:sz="4" w:space="0"/>
              <w:left w:val="single" w:color="000000" w:sz="4" w:space="0"/>
              <w:bottom w:val="single" w:color="000000" w:sz="4" w:space="0"/>
              <w:right w:val="single" w:color="000000" w:sz="4" w:space="0"/>
            </w:tcBorders>
            <w:noWrap w:val="0"/>
            <w:vAlign w:val="top"/>
          </w:tcPr>
          <w:p w14:paraId="49D10136">
            <w:pPr>
              <w:jc w:val="both"/>
              <w:rPr>
                <w:rFonts w:hint="eastAsia" w:ascii="Times New Roman" w:hAnsi="Times New Roman" w:eastAsia="仿宋_GB2312" w:cs="Times New Roman"/>
                <w:i w:val="0"/>
                <w:color w:val="auto"/>
                <w:sz w:val="22"/>
                <w:szCs w:val="22"/>
              </w:rPr>
            </w:pPr>
          </w:p>
        </w:tc>
        <w:tc>
          <w:tcPr>
            <w:tcW w:w="990" w:type="dxa"/>
            <w:vMerge w:val="continue"/>
            <w:tcBorders>
              <w:top w:val="single" w:color="000000" w:sz="4" w:space="0"/>
              <w:left w:val="single" w:color="000000" w:sz="4" w:space="0"/>
              <w:bottom w:val="single" w:color="000000" w:sz="4" w:space="0"/>
              <w:right w:val="single" w:color="000000" w:sz="4" w:space="0"/>
            </w:tcBorders>
            <w:noWrap w:val="0"/>
            <w:vAlign w:val="top"/>
          </w:tcPr>
          <w:p w14:paraId="433EA296">
            <w:pPr>
              <w:jc w:val="both"/>
              <w:rPr>
                <w:rFonts w:hint="eastAsia" w:ascii="Times New Roman" w:hAnsi="Times New Roman" w:eastAsia="仿宋_GB2312" w:cs="Times New Roman"/>
                <w:i w:val="0"/>
                <w:color w:val="auto"/>
                <w:sz w:val="22"/>
                <w:szCs w:val="22"/>
              </w:rPr>
            </w:pPr>
          </w:p>
        </w:tc>
      </w:tr>
      <w:tr w14:paraId="38B3DA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1"/>
          <w:wAfter w:w="15" w:type="dxa"/>
          <w:trHeight w:val="585" w:hRule="atLeast"/>
        </w:trPr>
        <w:tc>
          <w:tcPr>
            <w:tcW w:w="720" w:type="dxa"/>
            <w:tcBorders>
              <w:top w:val="single" w:color="000000" w:sz="4" w:space="0"/>
              <w:left w:val="single" w:color="000000" w:sz="4" w:space="0"/>
              <w:bottom w:val="single" w:color="000000" w:sz="4" w:space="0"/>
              <w:right w:val="single" w:color="000000" w:sz="4" w:space="0"/>
            </w:tcBorders>
            <w:noWrap w:val="0"/>
            <w:vAlign w:val="center"/>
          </w:tcPr>
          <w:p w14:paraId="2BE5BA2E">
            <w:pPr>
              <w:widowControl/>
              <w:jc w:val="center"/>
              <w:textAlignment w:val="center"/>
              <w:rPr>
                <w:rFonts w:hint="eastAsia" w:ascii="Times New Roman" w:hAnsi="Times New Roman" w:eastAsia="仿宋_GB2312" w:cs="Times New Roman"/>
                <w:i w:val="0"/>
                <w:color w:val="auto"/>
                <w:sz w:val="22"/>
                <w:szCs w:val="22"/>
              </w:rPr>
            </w:pPr>
            <w:r>
              <w:rPr>
                <w:rFonts w:hint="eastAsia" w:ascii="Times New Roman" w:hAnsi="Times New Roman" w:eastAsia="仿宋_GB2312" w:cs="Times New Roman"/>
                <w:i w:val="0"/>
                <w:color w:val="auto"/>
                <w:kern w:val="0"/>
                <w:sz w:val="22"/>
                <w:szCs w:val="22"/>
                <w:lang w:val="en-US" w:eastAsia="zh-CN" w:bidi="ar-SA"/>
              </w:rPr>
              <w:t>3</w:t>
            </w:r>
          </w:p>
        </w:tc>
        <w:tc>
          <w:tcPr>
            <w:tcW w:w="1566" w:type="dxa"/>
            <w:gridSpan w:val="2"/>
            <w:tcBorders>
              <w:top w:val="single" w:color="000000" w:sz="4" w:space="0"/>
              <w:left w:val="single" w:color="000000" w:sz="4" w:space="0"/>
              <w:bottom w:val="single" w:color="000000" w:sz="4" w:space="0"/>
              <w:right w:val="single" w:color="000000" w:sz="4" w:space="0"/>
            </w:tcBorders>
            <w:noWrap w:val="0"/>
            <w:vAlign w:val="center"/>
          </w:tcPr>
          <w:p w14:paraId="14930FBA">
            <w:pPr>
              <w:widowControl/>
              <w:jc w:val="center"/>
              <w:textAlignment w:val="center"/>
              <w:rPr>
                <w:rFonts w:hint="eastAsia" w:ascii="Times New Roman" w:hAnsi="Times New Roman" w:eastAsia="仿宋_GB2312" w:cs="Times New Roman"/>
                <w:i w:val="0"/>
                <w:color w:val="auto"/>
                <w:sz w:val="22"/>
                <w:szCs w:val="22"/>
              </w:rPr>
            </w:pPr>
            <w:r>
              <w:rPr>
                <w:rFonts w:hint="eastAsia" w:ascii="Times New Roman" w:hAnsi="Times New Roman" w:eastAsia="仿宋_GB2312" w:cs="Times New Roman"/>
                <w:i w:val="0"/>
                <w:color w:val="auto"/>
                <w:kern w:val="0"/>
                <w:sz w:val="22"/>
                <w:szCs w:val="22"/>
                <w:lang w:val="en-US" w:eastAsia="zh-CN" w:bidi="ar-SA"/>
              </w:rPr>
              <w:t>屏蔽点位</w:t>
            </w:r>
          </w:p>
        </w:tc>
        <w:tc>
          <w:tcPr>
            <w:tcW w:w="3690" w:type="dxa"/>
            <w:gridSpan w:val="2"/>
            <w:tcBorders>
              <w:top w:val="single" w:color="000000" w:sz="4" w:space="0"/>
              <w:left w:val="single" w:color="000000" w:sz="4" w:space="0"/>
              <w:bottom w:val="single" w:color="000000" w:sz="4" w:space="0"/>
              <w:right w:val="single" w:color="000000" w:sz="4" w:space="0"/>
            </w:tcBorders>
            <w:noWrap w:val="0"/>
            <w:vAlign w:val="center"/>
          </w:tcPr>
          <w:p w14:paraId="3FF3729E">
            <w:pPr>
              <w:widowControl/>
              <w:jc w:val="left"/>
              <w:textAlignment w:val="center"/>
              <w:rPr>
                <w:rFonts w:hint="eastAsia" w:ascii="Times New Roman" w:hAnsi="Times New Roman" w:eastAsia="仿宋_GB2312" w:cs="Times New Roman"/>
                <w:i w:val="0"/>
                <w:color w:val="auto"/>
                <w:sz w:val="22"/>
                <w:szCs w:val="22"/>
              </w:rPr>
            </w:pPr>
            <w:r>
              <w:rPr>
                <w:rFonts w:hint="eastAsia" w:ascii="Times New Roman" w:hAnsi="Times New Roman" w:eastAsia="仿宋_GB2312" w:cs="Times New Roman"/>
                <w:i w:val="0"/>
                <w:color w:val="auto"/>
                <w:kern w:val="0"/>
                <w:sz w:val="22"/>
                <w:szCs w:val="22"/>
                <w:lang w:val="en-US" w:eastAsia="zh-CN" w:bidi="ar-SA"/>
              </w:rPr>
              <w:t>主机运行存在的屏蔽点位不大于10个，超出扣2分</w:t>
            </w:r>
          </w:p>
        </w:tc>
        <w:tc>
          <w:tcPr>
            <w:tcW w:w="1035" w:type="dxa"/>
            <w:tcBorders>
              <w:top w:val="single" w:color="000000" w:sz="4" w:space="0"/>
              <w:left w:val="single" w:color="000000" w:sz="4" w:space="0"/>
              <w:bottom w:val="single" w:color="000000" w:sz="4" w:space="0"/>
              <w:right w:val="single" w:color="000000" w:sz="4" w:space="0"/>
            </w:tcBorders>
            <w:noWrap w:val="0"/>
            <w:vAlign w:val="center"/>
          </w:tcPr>
          <w:p w14:paraId="77C79B51">
            <w:pPr>
              <w:widowControl/>
              <w:jc w:val="center"/>
              <w:textAlignment w:val="center"/>
              <w:rPr>
                <w:rFonts w:hint="eastAsia" w:ascii="Times New Roman" w:hAnsi="Times New Roman" w:eastAsia="仿宋_GB2312" w:cs="Times New Roman"/>
                <w:i w:val="0"/>
                <w:color w:val="auto"/>
                <w:sz w:val="22"/>
                <w:szCs w:val="22"/>
              </w:rPr>
            </w:pPr>
            <w:r>
              <w:rPr>
                <w:rFonts w:hint="eastAsia" w:ascii="Times New Roman" w:hAnsi="Times New Roman" w:eastAsia="仿宋_GB2312" w:cs="Times New Roman"/>
                <w:i w:val="0"/>
                <w:color w:val="auto"/>
                <w:kern w:val="0"/>
                <w:sz w:val="22"/>
                <w:szCs w:val="22"/>
                <w:lang w:val="en-US" w:eastAsia="zh-CN" w:bidi="ar-SA"/>
              </w:rPr>
              <w:t>2</w:t>
            </w:r>
          </w:p>
        </w:tc>
        <w:tc>
          <w:tcPr>
            <w:tcW w:w="930" w:type="dxa"/>
            <w:tcBorders>
              <w:top w:val="single" w:color="000000" w:sz="4" w:space="0"/>
              <w:left w:val="single" w:color="000000" w:sz="4" w:space="0"/>
              <w:bottom w:val="single" w:color="000000" w:sz="4" w:space="0"/>
              <w:right w:val="single" w:color="000000" w:sz="4" w:space="0"/>
            </w:tcBorders>
            <w:noWrap w:val="0"/>
            <w:vAlign w:val="top"/>
          </w:tcPr>
          <w:p w14:paraId="10D9EB48">
            <w:pPr>
              <w:jc w:val="both"/>
              <w:rPr>
                <w:rFonts w:hint="eastAsia" w:ascii="Times New Roman" w:hAnsi="Times New Roman" w:eastAsia="仿宋_GB2312" w:cs="Times New Roman"/>
                <w:i w:val="0"/>
                <w:color w:val="auto"/>
                <w:sz w:val="22"/>
                <w:szCs w:val="22"/>
              </w:rPr>
            </w:pPr>
          </w:p>
        </w:tc>
        <w:tc>
          <w:tcPr>
            <w:tcW w:w="990" w:type="dxa"/>
            <w:tcBorders>
              <w:top w:val="single" w:color="000000" w:sz="4" w:space="0"/>
              <w:left w:val="single" w:color="000000" w:sz="4" w:space="0"/>
              <w:bottom w:val="single" w:color="000000" w:sz="4" w:space="0"/>
              <w:right w:val="single" w:color="000000" w:sz="4" w:space="0"/>
            </w:tcBorders>
            <w:noWrap w:val="0"/>
            <w:vAlign w:val="top"/>
          </w:tcPr>
          <w:p w14:paraId="0A63522D">
            <w:pPr>
              <w:jc w:val="both"/>
              <w:rPr>
                <w:rFonts w:hint="eastAsia" w:ascii="Times New Roman" w:hAnsi="Times New Roman" w:eastAsia="仿宋_GB2312" w:cs="Times New Roman"/>
                <w:i w:val="0"/>
                <w:color w:val="auto"/>
                <w:sz w:val="22"/>
                <w:szCs w:val="22"/>
              </w:rPr>
            </w:pPr>
          </w:p>
        </w:tc>
      </w:tr>
      <w:tr w14:paraId="51D41A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1"/>
          <w:wAfter w:w="15" w:type="dxa"/>
          <w:trHeight w:val="585" w:hRule="atLeast"/>
        </w:trPr>
        <w:tc>
          <w:tcPr>
            <w:tcW w:w="720" w:type="dxa"/>
            <w:tcBorders>
              <w:top w:val="single" w:color="000000" w:sz="4" w:space="0"/>
              <w:left w:val="single" w:color="000000" w:sz="4" w:space="0"/>
              <w:bottom w:val="single" w:color="000000" w:sz="4" w:space="0"/>
              <w:right w:val="single" w:color="000000" w:sz="4" w:space="0"/>
            </w:tcBorders>
            <w:noWrap w:val="0"/>
            <w:vAlign w:val="center"/>
          </w:tcPr>
          <w:p w14:paraId="79C9D559">
            <w:pPr>
              <w:widowControl/>
              <w:jc w:val="center"/>
              <w:textAlignment w:val="center"/>
              <w:rPr>
                <w:rFonts w:hint="eastAsia" w:ascii="Times New Roman" w:hAnsi="Times New Roman" w:eastAsia="仿宋_GB2312" w:cs="Times New Roman"/>
                <w:i w:val="0"/>
                <w:color w:val="auto"/>
                <w:sz w:val="22"/>
                <w:szCs w:val="22"/>
              </w:rPr>
            </w:pPr>
            <w:r>
              <w:rPr>
                <w:rFonts w:hint="eastAsia" w:ascii="Times New Roman" w:hAnsi="Times New Roman" w:eastAsia="仿宋_GB2312" w:cs="Times New Roman"/>
                <w:i w:val="0"/>
                <w:color w:val="auto"/>
                <w:kern w:val="0"/>
                <w:sz w:val="22"/>
                <w:szCs w:val="22"/>
                <w:lang w:val="en-US" w:eastAsia="zh-CN" w:bidi="ar-SA"/>
              </w:rPr>
              <w:t>4</w:t>
            </w:r>
          </w:p>
        </w:tc>
        <w:tc>
          <w:tcPr>
            <w:tcW w:w="1566" w:type="dxa"/>
            <w:gridSpan w:val="2"/>
            <w:tcBorders>
              <w:top w:val="single" w:color="000000" w:sz="4" w:space="0"/>
              <w:left w:val="single" w:color="000000" w:sz="4" w:space="0"/>
              <w:bottom w:val="single" w:color="000000" w:sz="4" w:space="0"/>
              <w:right w:val="single" w:color="000000" w:sz="4" w:space="0"/>
            </w:tcBorders>
            <w:noWrap w:val="0"/>
            <w:vAlign w:val="center"/>
          </w:tcPr>
          <w:p w14:paraId="46CDC02F">
            <w:pPr>
              <w:widowControl/>
              <w:jc w:val="center"/>
              <w:textAlignment w:val="center"/>
              <w:rPr>
                <w:rFonts w:hint="eastAsia" w:ascii="Times New Roman" w:hAnsi="Times New Roman" w:eastAsia="仿宋_GB2312" w:cs="Times New Roman"/>
                <w:i w:val="0"/>
                <w:color w:val="auto"/>
                <w:sz w:val="22"/>
                <w:szCs w:val="22"/>
              </w:rPr>
            </w:pPr>
            <w:r>
              <w:rPr>
                <w:rFonts w:hint="eastAsia" w:ascii="Times New Roman" w:hAnsi="Times New Roman" w:eastAsia="仿宋_GB2312" w:cs="Times New Roman"/>
                <w:i w:val="0"/>
                <w:color w:val="auto"/>
                <w:kern w:val="0"/>
                <w:sz w:val="22"/>
                <w:szCs w:val="22"/>
                <w:lang w:val="en-US" w:eastAsia="zh-CN" w:bidi="ar-SA"/>
              </w:rPr>
              <w:t>反馈点位</w:t>
            </w:r>
          </w:p>
        </w:tc>
        <w:tc>
          <w:tcPr>
            <w:tcW w:w="3690" w:type="dxa"/>
            <w:gridSpan w:val="2"/>
            <w:tcBorders>
              <w:top w:val="single" w:color="000000" w:sz="4" w:space="0"/>
              <w:left w:val="single" w:color="000000" w:sz="4" w:space="0"/>
              <w:bottom w:val="single" w:color="000000" w:sz="4" w:space="0"/>
              <w:right w:val="single" w:color="000000" w:sz="4" w:space="0"/>
            </w:tcBorders>
            <w:noWrap w:val="0"/>
            <w:vAlign w:val="center"/>
          </w:tcPr>
          <w:p w14:paraId="5E16F8BD">
            <w:pPr>
              <w:widowControl/>
              <w:jc w:val="left"/>
              <w:textAlignment w:val="center"/>
              <w:rPr>
                <w:rFonts w:hint="eastAsia" w:ascii="Times New Roman" w:hAnsi="Times New Roman" w:eastAsia="仿宋_GB2312" w:cs="Times New Roman"/>
                <w:i w:val="0"/>
                <w:color w:val="auto"/>
                <w:sz w:val="22"/>
                <w:szCs w:val="22"/>
              </w:rPr>
            </w:pPr>
            <w:r>
              <w:rPr>
                <w:rFonts w:hint="eastAsia" w:ascii="Times New Roman" w:hAnsi="Times New Roman" w:eastAsia="仿宋_GB2312" w:cs="Times New Roman"/>
                <w:i w:val="0"/>
                <w:color w:val="auto"/>
                <w:kern w:val="0"/>
                <w:sz w:val="22"/>
                <w:szCs w:val="22"/>
                <w:lang w:val="en-US" w:eastAsia="zh-CN" w:bidi="ar-SA"/>
              </w:rPr>
              <w:t>主机运行存在的反馈点位不大于10个，超出扣2分</w:t>
            </w:r>
          </w:p>
        </w:tc>
        <w:tc>
          <w:tcPr>
            <w:tcW w:w="1035" w:type="dxa"/>
            <w:tcBorders>
              <w:top w:val="single" w:color="000000" w:sz="4" w:space="0"/>
              <w:left w:val="single" w:color="000000" w:sz="4" w:space="0"/>
              <w:bottom w:val="single" w:color="000000" w:sz="4" w:space="0"/>
              <w:right w:val="single" w:color="000000" w:sz="4" w:space="0"/>
            </w:tcBorders>
            <w:noWrap w:val="0"/>
            <w:vAlign w:val="center"/>
          </w:tcPr>
          <w:p w14:paraId="52567EA1">
            <w:pPr>
              <w:widowControl/>
              <w:jc w:val="center"/>
              <w:textAlignment w:val="center"/>
              <w:rPr>
                <w:rFonts w:hint="eastAsia" w:ascii="Times New Roman" w:hAnsi="Times New Roman" w:eastAsia="仿宋_GB2312" w:cs="Times New Roman"/>
                <w:i w:val="0"/>
                <w:color w:val="auto"/>
                <w:sz w:val="22"/>
                <w:szCs w:val="22"/>
              </w:rPr>
            </w:pPr>
            <w:r>
              <w:rPr>
                <w:rFonts w:hint="eastAsia" w:ascii="Times New Roman" w:hAnsi="Times New Roman" w:eastAsia="仿宋_GB2312" w:cs="Times New Roman"/>
                <w:i w:val="0"/>
                <w:color w:val="auto"/>
                <w:kern w:val="0"/>
                <w:sz w:val="22"/>
                <w:szCs w:val="22"/>
                <w:lang w:val="en-US" w:eastAsia="zh-CN" w:bidi="ar-SA"/>
              </w:rPr>
              <w:t>2</w:t>
            </w:r>
          </w:p>
        </w:tc>
        <w:tc>
          <w:tcPr>
            <w:tcW w:w="930" w:type="dxa"/>
            <w:tcBorders>
              <w:top w:val="single" w:color="000000" w:sz="4" w:space="0"/>
              <w:left w:val="single" w:color="000000" w:sz="4" w:space="0"/>
              <w:bottom w:val="single" w:color="000000" w:sz="4" w:space="0"/>
              <w:right w:val="single" w:color="000000" w:sz="4" w:space="0"/>
            </w:tcBorders>
            <w:noWrap w:val="0"/>
            <w:vAlign w:val="top"/>
          </w:tcPr>
          <w:p w14:paraId="5B35AA0A">
            <w:pPr>
              <w:jc w:val="both"/>
              <w:rPr>
                <w:rFonts w:hint="eastAsia" w:ascii="Times New Roman" w:hAnsi="Times New Roman" w:eastAsia="仿宋_GB2312" w:cs="Times New Roman"/>
                <w:i w:val="0"/>
                <w:color w:val="auto"/>
                <w:sz w:val="22"/>
                <w:szCs w:val="22"/>
              </w:rPr>
            </w:pPr>
          </w:p>
        </w:tc>
        <w:tc>
          <w:tcPr>
            <w:tcW w:w="990" w:type="dxa"/>
            <w:tcBorders>
              <w:top w:val="single" w:color="000000" w:sz="4" w:space="0"/>
              <w:left w:val="single" w:color="000000" w:sz="4" w:space="0"/>
              <w:bottom w:val="single" w:color="000000" w:sz="4" w:space="0"/>
              <w:right w:val="single" w:color="000000" w:sz="4" w:space="0"/>
            </w:tcBorders>
            <w:noWrap w:val="0"/>
            <w:vAlign w:val="top"/>
          </w:tcPr>
          <w:p w14:paraId="1EAD3739">
            <w:pPr>
              <w:jc w:val="both"/>
              <w:rPr>
                <w:rFonts w:hint="eastAsia" w:ascii="Times New Roman" w:hAnsi="Times New Roman" w:eastAsia="仿宋_GB2312" w:cs="Times New Roman"/>
                <w:i w:val="0"/>
                <w:color w:val="auto"/>
                <w:sz w:val="22"/>
                <w:szCs w:val="22"/>
              </w:rPr>
            </w:pPr>
          </w:p>
        </w:tc>
      </w:tr>
      <w:tr w14:paraId="0167C9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1"/>
          <w:wAfter w:w="15" w:type="dxa"/>
          <w:trHeight w:val="585" w:hRule="atLeast"/>
        </w:trPr>
        <w:tc>
          <w:tcPr>
            <w:tcW w:w="720" w:type="dxa"/>
            <w:tcBorders>
              <w:top w:val="single" w:color="000000" w:sz="4" w:space="0"/>
              <w:left w:val="single" w:color="000000" w:sz="4" w:space="0"/>
              <w:bottom w:val="single" w:color="000000" w:sz="4" w:space="0"/>
              <w:right w:val="single" w:color="000000" w:sz="4" w:space="0"/>
            </w:tcBorders>
            <w:noWrap w:val="0"/>
            <w:vAlign w:val="center"/>
          </w:tcPr>
          <w:p w14:paraId="0D02C32C">
            <w:pPr>
              <w:widowControl/>
              <w:jc w:val="center"/>
              <w:textAlignment w:val="center"/>
              <w:rPr>
                <w:rFonts w:hint="eastAsia" w:ascii="Times New Roman" w:hAnsi="Times New Roman" w:eastAsia="仿宋_GB2312" w:cs="Times New Roman"/>
                <w:i w:val="0"/>
                <w:color w:val="auto"/>
                <w:sz w:val="22"/>
                <w:szCs w:val="22"/>
              </w:rPr>
            </w:pPr>
            <w:r>
              <w:rPr>
                <w:rFonts w:hint="eastAsia" w:ascii="Times New Roman" w:hAnsi="Times New Roman" w:eastAsia="仿宋_GB2312" w:cs="Times New Roman"/>
                <w:i w:val="0"/>
                <w:color w:val="auto"/>
                <w:kern w:val="0"/>
                <w:sz w:val="22"/>
                <w:szCs w:val="22"/>
                <w:lang w:val="en-US" w:eastAsia="zh-CN" w:bidi="ar-SA"/>
              </w:rPr>
              <w:t>5</w:t>
            </w:r>
          </w:p>
        </w:tc>
        <w:tc>
          <w:tcPr>
            <w:tcW w:w="1566" w:type="dxa"/>
            <w:gridSpan w:val="2"/>
            <w:tcBorders>
              <w:top w:val="single" w:color="000000" w:sz="4" w:space="0"/>
              <w:left w:val="single" w:color="000000" w:sz="4" w:space="0"/>
              <w:bottom w:val="single" w:color="000000" w:sz="4" w:space="0"/>
              <w:right w:val="single" w:color="000000" w:sz="4" w:space="0"/>
            </w:tcBorders>
            <w:noWrap w:val="0"/>
            <w:vAlign w:val="center"/>
          </w:tcPr>
          <w:p w14:paraId="27EE3813">
            <w:pPr>
              <w:widowControl/>
              <w:jc w:val="center"/>
              <w:textAlignment w:val="center"/>
              <w:rPr>
                <w:rFonts w:hint="eastAsia" w:ascii="Times New Roman" w:hAnsi="Times New Roman" w:eastAsia="仿宋_GB2312" w:cs="Times New Roman"/>
                <w:i w:val="0"/>
                <w:color w:val="auto"/>
                <w:sz w:val="22"/>
                <w:szCs w:val="22"/>
              </w:rPr>
            </w:pPr>
            <w:r>
              <w:rPr>
                <w:rFonts w:hint="eastAsia" w:ascii="Times New Roman" w:hAnsi="Times New Roman" w:eastAsia="仿宋_GB2312" w:cs="Times New Roman"/>
                <w:i w:val="0"/>
                <w:color w:val="auto"/>
                <w:kern w:val="0"/>
                <w:sz w:val="22"/>
                <w:szCs w:val="22"/>
                <w:lang w:val="en-US" w:eastAsia="zh-CN" w:bidi="ar-SA"/>
              </w:rPr>
              <w:t>隐藏点位</w:t>
            </w:r>
          </w:p>
        </w:tc>
        <w:tc>
          <w:tcPr>
            <w:tcW w:w="3690" w:type="dxa"/>
            <w:gridSpan w:val="2"/>
            <w:tcBorders>
              <w:top w:val="single" w:color="000000" w:sz="4" w:space="0"/>
              <w:left w:val="single" w:color="000000" w:sz="4" w:space="0"/>
              <w:bottom w:val="single" w:color="000000" w:sz="4" w:space="0"/>
              <w:right w:val="single" w:color="000000" w:sz="4" w:space="0"/>
            </w:tcBorders>
            <w:noWrap w:val="0"/>
            <w:vAlign w:val="center"/>
          </w:tcPr>
          <w:p w14:paraId="0847084C">
            <w:pPr>
              <w:widowControl/>
              <w:jc w:val="left"/>
              <w:textAlignment w:val="center"/>
              <w:rPr>
                <w:rFonts w:hint="eastAsia" w:ascii="Times New Roman" w:hAnsi="Times New Roman" w:eastAsia="仿宋_GB2312" w:cs="Times New Roman"/>
                <w:i w:val="0"/>
                <w:color w:val="auto"/>
                <w:sz w:val="22"/>
                <w:szCs w:val="22"/>
              </w:rPr>
            </w:pPr>
            <w:r>
              <w:rPr>
                <w:rFonts w:hint="eastAsia" w:ascii="Times New Roman" w:hAnsi="Times New Roman" w:eastAsia="仿宋_GB2312" w:cs="Times New Roman"/>
                <w:i w:val="0"/>
                <w:color w:val="auto"/>
                <w:kern w:val="0"/>
                <w:sz w:val="22"/>
                <w:szCs w:val="22"/>
                <w:lang w:val="en-US" w:eastAsia="zh-CN" w:bidi="ar-SA"/>
              </w:rPr>
              <w:t>主机运行存在隐藏（预留）点位不大于5个，超出扣2分</w:t>
            </w:r>
          </w:p>
        </w:tc>
        <w:tc>
          <w:tcPr>
            <w:tcW w:w="1035" w:type="dxa"/>
            <w:tcBorders>
              <w:top w:val="single" w:color="000000" w:sz="4" w:space="0"/>
              <w:left w:val="single" w:color="000000" w:sz="4" w:space="0"/>
              <w:bottom w:val="single" w:color="000000" w:sz="4" w:space="0"/>
              <w:right w:val="single" w:color="000000" w:sz="4" w:space="0"/>
            </w:tcBorders>
            <w:noWrap w:val="0"/>
            <w:vAlign w:val="center"/>
          </w:tcPr>
          <w:p w14:paraId="0555A2B3">
            <w:pPr>
              <w:widowControl/>
              <w:jc w:val="center"/>
              <w:textAlignment w:val="center"/>
              <w:rPr>
                <w:rFonts w:hint="eastAsia" w:ascii="Times New Roman" w:hAnsi="Times New Roman" w:eastAsia="仿宋_GB2312" w:cs="Times New Roman"/>
                <w:i w:val="0"/>
                <w:color w:val="auto"/>
                <w:sz w:val="22"/>
                <w:szCs w:val="22"/>
              </w:rPr>
            </w:pPr>
            <w:r>
              <w:rPr>
                <w:rFonts w:hint="eastAsia" w:ascii="Times New Roman" w:hAnsi="Times New Roman" w:eastAsia="仿宋_GB2312" w:cs="Times New Roman"/>
                <w:i w:val="0"/>
                <w:color w:val="auto"/>
                <w:kern w:val="0"/>
                <w:sz w:val="22"/>
                <w:szCs w:val="22"/>
                <w:lang w:val="en-US" w:eastAsia="zh-CN" w:bidi="ar-SA"/>
              </w:rPr>
              <w:t>2</w:t>
            </w:r>
          </w:p>
        </w:tc>
        <w:tc>
          <w:tcPr>
            <w:tcW w:w="930" w:type="dxa"/>
            <w:tcBorders>
              <w:top w:val="single" w:color="000000" w:sz="4" w:space="0"/>
              <w:left w:val="single" w:color="000000" w:sz="4" w:space="0"/>
              <w:bottom w:val="single" w:color="000000" w:sz="4" w:space="0"/>
              <w:right w:val="single" w:color="000000" w:sz="4" w:space="0"/>
            </w:tcBorders>
            <w:noWrap w:val="0"/>
            <w:vAlign w:val="top"/>
          </w:tcPr>
          <w:p w14:paraId="15ABCD94">
            <w:pPr>
              <w:jc w:val="both"/>
              <w:rPr>
                <w:rFonts w:hint="eastAsia" w:ascii="Times New Roman" w:hAnsi="Times New Roman" w:eastAsia="仿宋_GB2312" w:cs="Times New Roman"/>
                <w:i w:val="0"/>
                <w:color w:val="auto"/>
                <w:sz w:val="22"/>
                <w:szCs w:val="22"/>
              </w:rPr>
            </w:pPr>
          </w:p>
        </w:tc>
        <w:tc>
          <w:tcPr>
            <w:tcW w:w="990" w:type="dxa"/>
            <w:tcBorders>
              <w:top w:val="single" w:color="000000" w:sz="4" w:space="0"/>
              <w:left w:val="single" w:color="000000" w:sz="4" w:space="0"/>
              <w:bottom w:val="single" w:color="000000" w:sz="4" w:space="0"/>
              <w:right w:val="single" w:color="000000" w:sz="4" w:space="0"/>
            </w:tcBorders>
            <w:noWrap w:val="0"/>
            <w:vAlign w:val="top"/>
          </w:tcPr>
          <w:p w14:paraId="4C4DD293">
            <w:pPr>
              <w:jc w:val="both"/>
              <w:rPr>
                <w:rFonts w:hint="eastAsia" w:ascii="Times New Roman" w:hAnsi="Times New Roman" w:eastAsia="仿宋_GB2312" w:cs="Times New Roman"/>
                <w:i w:val="0"/>
                <w:color w:val="auto"/>
                <w:sz w:val="22"/>
                <w:szCs w:val="22"/>
              </w:rPr>
            </w:pPr>
          </w:p>
        </w:tc>
      </w:tr>
      <w:tr w14:paraId="40CB54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1"/>
          <w:wAfter w:w="15" w:type="dxa"/>
          <w:trHeight w:val="630" w:hRule="atLeast"/>
        </w:trPr>
        <w:tc>
          <w:tcPr>
            <w:tcW w:w="5976" w:type="dxa"/>
            <w:gridSpan w:val="5"/>
            <w:tcBorders>
              <w:top w:val="single" w:color="000000" w:sz="4" w:space="0"/>
              <w:left w:val="single" w:color="000000" w:sz="4" w:space="0"/>
              <w:bottom w:val="single" w:color="000000" w:sz="4" w:space="0"/>
              <w:right w:val="single" w:color="000000" w:sz="4" w:space="0"/>
            </w:tcBorders>
            <w:noWrap w:val="0"/>
            <w:vAlign w:val="center"/>
          </w:tcPr>
          <w:p w14:paraId="08CB4ECE">
            <w:pPr>
              <w:widowControl/>
              <w:jc w:val="left"/>
              <w:textAlignment w:val="center"/>
              <w:rPr>
                <w:rFonts w:hint="eastAsia" w:ascii="Times New Roman" w:hAnsi="Times New Roman" w:eastAsia="仿宋_GB2312" w:cs="Times New Roman"/>
                <w:i w:val="0"/>
                <w:color w:val="auto"/>
                <w:sz w:val="22"/>
                <w:szCs w:val="22"/>
              </w:rPr>
            </w:pPr>
            <w:r>
              <w:rPr>
                <w:rFonts w:hint="eastAsia" w:ascii="Times New Roman" w:hAnsi="Times New Roman" w:eastAsia="仿宋_GB2312" w:cs="Times New Roman"/>
                <w:i w:val="0"/>
                <w:color w:val="auto"/>
                <w:kern w:val="0"/>
                <w:sz w:val="22"/>
                <w:szCs w:val="22"/>
                <w:lang w:val="en-US" w:eastAsia="zh-CN" w:bidi="ar-SA"/>
              </w:rPr>
              <w:t>三、设备检测情况</w:t>
            </w:r>
          </w:p>
        </w:tc>
        <w:tc>
          <w:tcPr>
            <w:tcW w:w="1035" w:type="dxa"/>
            <w:tcBorders>
              <w:top w:val="single" w:color="000000" w:sz="4" w:space="0"/>
              <w:left w:val="single" w:color="000000" w:sz="4" w:space="0"/>
              <w:bottom w:val="single" w:color="000000" w:sz="4" w:space="0"/>
              <w:right w:val="single" w:color="000000" w:sz="4" w:space="0"/>
            </w:tcBorders>
            <w:noWrap w:val="0"/>
            <w:vAlign w:val="center"/>
          </w:tcPr>
          <w:p w14:paraId="587E3F5B">
            <w:pPr>
              <w:widowControl/>
              <w:jc w:val="center"/>
              <w:textAlignment w:val="center"/>
              <w:rPr>
                <w:rFonts w:hint="eastAsia" w:ascii="Times New Roman" w:hAnsi="Times New Roman" w:eastAsia="仿宋_GB2312" w:cs="Times New Roman"/>
                <w:i w:val="0"/>
                <w:color w:val="auto"/>
                <w:sz w:val="22"/>
                <w:szCs w:val="22"/>
              </w:rPr>
            </w:pPr>
            <w:r>
              <w:rPr>
                <w:rFonts w:hint="eastAsia" w:ascii="Times New Roman" w:hAnsi="Times New Roman" w:eastAsia="仿宋_GB2312" w:cs="Times New Roman"/>
                <w:i w:val="0"/>
                <w:color w:val="auto"/>
                <w:kern w:val="0"/>
                <w:sz w:val="22"/>
                <w:szCs w:val="22"/>
                <w:lang w:val="en-US" w:eastAsia="zh-CN" w:bidi="ar-SA"/>
              </w:rPr>
              <w:t>58</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14:paraId="2A0D3E9B">
            <w:pPr>
              <w:jc w:val="center"/>
              <w:rPr>
                <w:rFonts w:hint="eastAsia" w:ascii="Times New Roman" w:hAnsi="Times New Roman" w:eastAsia="仿宋_GB2312" w:cs="Times New Roman"/>
                <w:i w:val="0"/>
                <w:color w:val="auto"/>
                <w:sz w:val="22"/>
                <w:szCs w:val="22"/>
              </w:rPr>
            </w:pPr>
          </w:p>
        </w:tc>
        <w:tc>
          <w:tcPr>
            <w:tcW w:w="990" w:type="dxa"/>
            <w:tcBorders>
              <w:top w:val="single" w:color="000000" w:sz="4" w:space="0"/>
              <w:left w:val="single" w:color="000000" w:sz="4" w:space="0"/>
              <w:bottom w:val="single" w:color="000000" w:sz="4" w:space="0"/>
              <w:right w:val="single" w:color="000000" w:sz="4" w:space="0"/>
            </w:tcBorders>
            <w:noWrap w:val="0"/>
            <w:vAlign w:val="center"/>
          </w:tcPr>
          <w:p w14:paraId="4D795F8F">
            <w:pPr>
              <w:jc w:val="center"/>
              <w:rPr>
                <w:rFonts w:hint="eastAsia" w:ascii="Times New Roman" w:hAnsi="Times New Roman" w:eastAsia="仿宋_GB2312" w:cs="Times New Roman"/>
                <w:i w:val="0"/>
                <w:color w:val="auto"/>
                <w:sz w:val="22"/>
                <w:szCs w:val="22"/>
              </w:rPr>
            </w:pPr>
          </w:p>
        </w:tc>
      </w:tr>
      <w:tr w14:paraId="212035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1"/>
          <w:wAfter w:w="15" w:type="dxa"/>
          <w:trHeight w:val="315" w:hRule="atLeast"/>
        </w:trPr>
        <w:tc>
          <w:tcPr>
            <w:tcW w:w="720" w:type="dxa"/>
            <w:vMerge w:val="restart"/>
            <w:tcBorders>
              <w:top w:val="single" w:color="000000" w:sz="4" w:space="0"/>
              <w:left w:val="single" w:color="000000" w:sz="4" w:space="0"/>
              <w:bottom w:val="single" w:color="000000" w:sz="4" w:space="0"/>
              <w:right w:val="single" w:color="000000" w:sz="4" w:space="0"/>
            </w:tcBorders>
            <w:noWrap w:val="0"/>
            <w:vAlign w:val="center"/>
          </w:tcPr>
          <w:p w14:paraId="0B74F5C6">
            <w:pPr>
              <w:widowControl/>
              <w:jc w:val="center"/>
              <w:textAlignment w:val="center"/>
              <w:rPr>
                <w:rFonts w:hint="eastAsia" w:ascii="Times New Roman" w:hAnsi="Times New Roman" w:eastAsia="仿宋_GB2312" w:cs="Times New Roman"/>
                <w:i w:val="0"/>
                <w:color w:val="auto"/>
                <w:sz w:val="22"/>
                <w:szCs w:val="22"/>
              </w:rPr>
            </w:pPr>
            <w:r>
              <w:rPr>
                <w:rFonts w:hint="eastAsia" w:ascii="Times New Roman" w:hAnsi="Times New Roman" w:eastAsia="仿宋_GB2312" w:cs="Times New Roman"/>
                <w:i w:val="0"/>
                <w:color w:val="auto"/>
                <w:kern w:val="0"/>
                <w:sz w:val="22"/>
                <w:szCs w:val="22"/>
                <w:lang w:val="en-US" w:eastAsia="zh-CN" w:bidi="ar-SA"/>
              </w:rPr>
              <w:t>1</w:t>
            </w:r>
          </w:p>
        </w:tc>
        <w:tc>
          <w:tcPr>
            <w:tcW w:w="1566"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1E68291B">
            <w:pPr>
              <w:widowControl/>
              <w:jc w:val="center"/>
              <w:textAlignment w:val="center"/>
              <w:rPr>
                <w:rFonts w:hint="eastAsia" w:ascii="Times New Roman" w:hAnsi="Times New Roman" w:eastAsia="仿宋_GB2312" w:cs="Times New Roman"/>
                <w:i w:val="0"/>
                <w:color w:val="auto"/>
                <w:sz w:val="22"/>
                <w:szCs w:val="22"/>
              </w:rPr>
            </w:pPr>
            <w:r>
              <w:rPr>
                <w:rFonts w:hint="eastAsia" w:ascii="Times New Roman" w:hAnsi="Times New Roman" w:eastAsia="仿宋_GB2312" w:cs="Times New Roman"/>
                <w:i w:val="0"/>
                <w:color w:val="auto"/>
                <w:kern w:val="0"/>
                <w:sz w:val="22"/>
                <w:szCs w:val="22"/>
                <w:lang w:val="en-US" w:eastAsia="zh-CN" w:bidi="ar-SA"/>
              </w:rPr>
              <w:t>烟感、温感、手报</w:t>
            </w:r>
          </w:p>
        </w:tc>
        <w:tc>
          <w:tcPr>
            <w:tcW w:w="3690"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0B34CBEC">
            <w:pPr>
              <w:widowControl/>
              <w:jc w:val="left"/>
              <w:textAlignment w:val="center"/>
              <w:rPr>
                <w:rFonts w:hint="eastAsia" w:ascii="Times New Roman" w:hAnsi="Times New Roman" w:eastAsia="仿宋_GB2312" w:cs="Times New Roman"/>
                <w:i w:val="0"/>
                <w:color w:val="auto"/>
                <w:sz w:val="22"/>
                <w:szCs w:val="22"/>
              </w:rPr>
            </w:pPr>
            <w:r>
              <w:rPr>
                <w:rFonts w:hint="eastAsia" w:ascii="Times New Roman" w:hAnsi="Times New Roman" w:eastAsia="仿宋_GB2312" w:cs="Times New Roman"/>
                <w:i w:val="0"/>
                <w:color w:val="auto"/>
                <w:kern w:val="0"/>
                <w:sz w:val="22"/>
                <w:szCs w:val="22"/>
                <w:lang w:val="en-US" w:eastAsia="zh-CN" w:bidi="ar-SA"/>
              </w:rPr>
              <w:t>发现一处无法正常工作扣2分</w:t>
            </w:r>
          </w:p>
        </w:tc>
        <w:tc>
          <w:tcPr>
            <w:tcW w:w="1035" w:type="dxa"/>
            <w:vMerge w:val="restart"/>
            <w:tcBorders>
              <w:top w:val="single" w:color="000000" w:sz="4" w:space="0"/>
              <w:left w:val="single" w:color="000000" w:sz="4" w:space="0"/>
              <w:bottom w:val="single" w:color="000000" w:sz="4" w:space="0"/>
              <w:right w:val="single" w:color="000000" w:sz="4" w:space="0"/>
            </w:tcBorders>
            <w:noWrap w:val="0"/>
            <w:vAlign w:val="center"/>
          </w:tcPr>
          <w:p w14:paraId="0F4F7E70">
            <w:pPr>
              <w:widowControl/>
              <w:jc w:val="center"/>
              <w:textAlignment w:val="center"/>
              <w:rPr>
                <w:rFonts w:hint="eastAsia" w:ascii="Times New Roman" w:hAnsi="Times New Roman" w:eastAsia="仿宋_GB2312" w:cs="Times New Roman"/>
                <w:i w:val="0"/>
                <w:color w:val="auto"/>
                <w:sz w:val="22"/>
                <w:szCs w:val="22"/>
              </w:rPr>
            </w:pPr>
            <w:r>
              <w:rPr>
                <w:rFonts w:hint="eastAsia" w:ascii="Times New Roman" w:hAnsi="Times New Roman" w:eastAsia="仿宋_GB2312" w:cs="Times New Roman"/>
                <w:i w:val="0"/>
                <w:color w:val="auto"/>
                <w:kern w:val="0"/>
                <w:sz w:val="22"/>
                <w:szCs w:val="22"/>
                <w:lang w:val="en-US" w:eastAsia="zh-CN" w:bidi="ar-SA"/>
              </w:rPr>
              <w:t>10</w:t>
            </w:r>
          </w:p>
        </w:tc>
        <w:tc>
          <w:tcPr>
            <w:tcW w:w="930" w:type="dxa"/>
            <w:vMerge w:val="restart"/>
            <w:tcBorders>
              <w:top w:val="single" w:color="000000" w:sz="4" w:space="0"/>
              <w:left w:val="single" w:color="000000" w:sz="4" w:space="0"/>
              <w:bottom w:val="single" w:color="000000" w:sz="4" w:space="0"/>
              <w:right w:val="single" w:color="000000" w:sz="4" w:space="0"/>
            </w:tcBorders>
            <w:noWrap w:val="0"/>
            <w:vAlign w:val="top"/>
          </w:tcPr>
          <w:p w14:paraId="0E6EA78D">
            <w:pPr>
              <w:jc w:val="both"/>
              <w:rPr>
                <w:rFonts w:hint="eastAsia" w:ascii="Times New Roman" w:hAnsi="Times New Roman" w:eastAsia="仿宋_GB2312" w:cs="Times New Roman"/>
                <w:i w:val="0"/>
                <w:color w:val="auto"/>
                <w:sz w:val="22"/>
                <w:szCs w:val="22"/>
              </w:rPr>
            </w:pPr>
          </w:p>
        </w:tc>
        <w:tc>
          <w:tcPr>
            <w:tcW w:w="990" w:type="dxa"/>
            <w:vMerge w:val="restart"/>
            <w:tcBorders>
              <w:top w:val="single" w:color="000000" w:sz="4" w:space="0"/>
              <w:left w:val="single" w:color="000000" w:sz="4" w:space="0"/>
              <w:bottom w:val="single" w:color="000000" w:sz="4" w:space="0"/>
              <w:right w:val="single" w:color="000000" w:sz="4" w:space="0"/>
            </w:tcBorders>
            <w:noWrap w:val="0"/>
            <w:vAlign w:val="top"/>
          </w:tcPr>
          <w:p w14:paraId="1C5AC159">
            <w:pPr>
              <w:jc w:val="both"/>
              <w:rPr>
                <w:rFonts w:hint="eastAsia" w:ascii="Times New Roman" w:hAnsi="Times New Roman" w:eastAsia="仿宋_GB2312" w:cs="Times New Roman"/>
                <w:i w:val="0"/>
                <w:color w:val="auto"/>
                <w:sz w:val="22"/>
                <w:szCs w:val="22"/>
              </w:rPr>
            </w:pPr>
          </w:p>
        </w:tc>
      </w:tr>
      <w:tr w14:paraId="3838BE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1"/>
          <w:wAfter w:w="15" w:type="dxa"/>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noWrap w:val="0"/>
            <w:vAlign w:val="center"/>
          </w:tcPr>
          <w:p w14:paraId="070B369F">
            <w:pPr>
              <w:jc w:val="center"/>
              <w:rPr>
                <w:rFonts w:hint="eastAsia" w:ascii="Times New Roman" w:hAnsi="Times New Roman" w:eastAsia="仿宋_GB2312" w:cs="Times New Roman"/>
                <w:i w:val="0"/>
                <w:color w:val="auto"/>
                <w:sz w:val="22"/>
                <w:szCs w:val="22"/>
              </w:rPr>
            </w:pPr>
          </w:p>
        </w:tc>
        <w:tc>
          <w:tcPr>
            <w:tcW w:w="1566"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6A54592C">
            <w:pPr>
              <w:jc w:val="center"/>
              <w:rPr>
                <w:rFonts w:hint="eastAsia" w:ascii="Times New Roman" w:hAnsi="Times New Roman" w:eastAsia="仿宋_GB2312" w:cs="Times New Roman"/>
                <w:i w:val="0"/>
                <w:color w:val="auto"/>
                <w:sz w:val="22"/>
                <w:szCs w:val="22"/>
              </w:rPr>
            </w:pPr>
          </w:p>
        </w:tc>
        <w:tc>
          <w:tcPr>
            <w:tcW w:w="3690"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611FAD58">
            <w:pPr>
              <w:jc w:val="left"/>
              <w:rPr>
                <w:rFonts w:hint="eastAsia" w:ascii="Times New Roman" w:hAnsi="Times New Roman" w:eastAsia="仿宋_GB2312" w:cs="Times New Roman"/>
                <w:i w:val="0"/>
                <w:color w:val="auto"/>
                <w:sz w:val="22"/>
                <w:szCs w:val="22"/>
              </w:rPr>
            </w:pPr>
          </w:p>
        </w:tc>
        <w:tc>
          <w:tcPr>
            <w:tcW w:w="1035" w:type="dxa"/>
            <w:vMerge w:val="continue"/>
            <w:tcBorders>
              <w:top w:val="single" w:color="000000" w:sz="4" w:space="0"/>
              <w:left w:val="single" w:color="000000" w:sz="4" w:space="0"/>
              <w:bottom w:val="single" w:color="000000" w:sz="4" w:space="0"/>
              <w:right w:val="single" w:color="000000" w:sz="4" w:space="0"/>
            </w:tcBorders>
            <w:noWrap w:val="0"/>
            <w:vAlign w:val="center"/>
          </w:tcPr>
          <w:p w14:paraId="16573D46">
            <w:pPr>
              <w:jc w:val="center"/>
              <w:rPr>
                <w:rFonts w:hint="eastAsia" w:ascii="Times New Roman" w:hAnsi="Times New Roman" w:eastAsia="仿宋_GB2312" w:cs="Times New Roman"/>
                <w:i w:val="0"/>
                <w:color w:val="auto"/>
                <w:sz w:val="22"/>
                <w:szCs w:val="22"/>
              </w:rPr>
            </w:pPr>
          </w:p>
        </w:tc>
        <w:tc>
          <w:tcPr>
            <w:tcW w:w="930" w:type="dxa"/>
            <w:vMerge w:val="continue"/>
            <w:tcBorders>
              <w:top w:val="single" w:color="000000" w:sz="4" w:space="0"/>
              <w:left w:val="single" w:color="000000" w:sz="4" w:space="0"/>
              <w:bottom w:val="single" w:color="000000" w:sz="4" w:space="0"/>
              <w:right w:val="single" w:color="000000" w:sz="4" w:space="0"/>
            </w:tcBorders>
            <w:noWrap w:val="0"/>
            <w:vAlign w:val="top"/>
          </w:tcPr>
          <w:p w14:paraId="52BA774F">
            <w:pPr>
              <w:jc w:val="both"/>
              <w:rPr>
                <w:rFonts w:hint="eastAsia" w:ascii="Times New Roman" w:hAnsi="Times New Roman" w:eastAsia="仿宋_GB2312" w:cs="Times New Roman"/>
                <w:i w:val="0"/>
                <w:color w:val="auto"/>
                <w:sz w:val="22"/>
                <w:szCs w:val="22"/>
              </w:rPr>
            </w:pPr>
          </w:p>
        </w:tc>
        <w:tc>
          <w:tcPr>
            <w:tcW w:w="990" w:type="dxa"/>
            <w:vMerge w:val="continue"/>
            <w:tcBorders>
              <w:top w:val="single" w:color="000000" w:sz="4" w:space="0"/>
              <w:left w:val="single" w:color="000000" w:sz="4" w:space="0"/>
              <w:bottom w:val="single" w:color="000000" w:sz="4" w:space="0"/>
              <w:right w:val="single" w:color="000000" w:sz="4" w:space="0"/>
            </w:tcBorders>
            <w:noWrap w:val="0"/>
            <w:vAlign w:val="top"/>
          </w:tcPr>
          <w:p w14:paraId="09EE3A77">
            <w:pPr>
              <w:jc w:val="both"/>
              <w:rPr>
                <w:rFonts w:hint="eastAsia" w:ascii="Times New Roman" w:hAnsi="Times New Roman" w:eastAsia="仿宋_GB2312" w:cs="Times New Roman"/>
                <w:i w:val="0"/>
                <w:color w:val="auto"/>
                <w:sz w:val="22"/>
                <w:szCs w:val="22"/>
              </w:rPr>
            </w:pPr>
          </w:p>
        </w:tc>
      </w:tr>
      <w:tr w14:paraId="23FFB2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1"/>
          <w:wAfter w:w="15" w:type="dxa"/>
          <w:trHeight w:val="870" w:hRule="atLeast"/>
        </w:trPr>
        <w:tc>
          <w:tcPr>
            <w:tcW w:w="720" w:type="dxa"/>
            <w:tcBorders>
              <w:top w:val="single" w:color="000000" w:sz="4" w:space="0"/>
              <w:left w:val="single" w:color="000000" w:sz="4" w:space="0"/>
              <w:bottom w:val="single" w:color="000000" w:sz="4" w:space="0"/>
              <w:right w:val="single" w:color="000000" w:sz="4" w:space="0"/>
            </w:tcBorders>
            <w:noWrap w:val="0"/>
            <w:vAlign w:val="center"/>
          </w:tcPr>
          <w:p w14:paraId="56FD473E">
            <w:pPr>
              <w:widowControl/>
              <w:jc w:val="center"/>
              <w:textAlignment w:val="center"/>
              <w:rPr>
                <w:rFonts w:hint="eastAsia" w:ascii="Times New Roman" w:hAnsi="Times New Roman" w:eastAsia="仿宋_GB2312" w:cs="Times New Roman"/>
                <w:i w:val="0"/>
                <w:color w:val="auto"/>
                <w:sz w:val="22"/>
                <w:szCs w:val="22"/>
              </w:rPr>
            </w:pPr>
            <w:r>
              <w:rPr>
                <w:rFonts w:hint="eastAsia" w:ascii="Times New Roman" w:hAnsi="Times New Roman" w:eastAsia="仿宋_GB2312" w:cs="Times New Roman"/>
                <w:i w:val="0"/>
                <w:color w:val="auto"/>
                <w:kern w:val="0"/>
                <w:sz w:val="22"/>
                <w:szCs w:val="22"/>
                <w:lang w:val="en-US" w:eastAsia="zh-CN" w:bidi="ar-SA"/>
              </w:rPr>
              <w:t>2</w:t>
            </w:r>
          </w:p>
        </w:tc>
        <w:tc>
          <w:tcPr>
            <w:tcW w:w="1566" w:type="dxa"/>
            <w:gridSpan w:val="2"/>
            <w:tcBorders>
              <w:top w:val="single" w:color="000000" w:sz="4" w:space="0"/>
              <w:left w:val="single" w:color="000000" w:sz="4" w:space="0"/>
              <w:bottom w:val="single" w:color="000000" w:sz="4" w:space="0"/>
              <w:right w:val="single" w:color="000000" w:sz="4" w:space="0"/>
            </w:tcBorders>
            <w:noWrap w:val="0"/>
            <w:vAlign w:val="center"/>
          </w:tcPr>
          <w:p w14:paraId="2DE4DC04">
            <w:pPr>
              <w:widowControl/>
              <w:jc w:val="center"/>
              <w:textAlignment w:val="center"/>
              <w:rPr>
                <w:rFonts w:hint="eastAsia" w:ascii="Times New Roman" w:hAnsi="Times New Roman" w:eastAsia="仿宋_GB2312" w:cs="Times New Roman"/>
                <w:i w:val="0"/>
                <w:color w:val="auto"/>
                <w:sz w:val="22"/>
                <w:szCs w:val="22"/>
              </w:rPr>
            </w:pPr>
            <w:r>
              <w:rPr>
                <w:rFonts w:hint="eastAsia" w:ascii="Times New Roman" w:hAnsi="Times New Roman" w:eastAsia="仿宋_GB2312" w:cs="Times New Roman"/>
                <w:i w:val="0"/>
                <w:color w:val="auto"/>
                <w:kern w:val="0"/>
                <w:sz w:val="22"/>
                <w:szCs w:val="22"/>
                <w:lang w:val="en-US" w:eastAsia="zh-CN" w:bidi="ar-SA"/>
              </w:rPr>
              <w:t>强切、强启</w:t>
            </w:r>
          </w:p>
        </w:tc>
        <w:tc>
          <w:tcPr>
            <w:tcW w:w="3690" w:type="dxa"/>
            <w:gridSpan w:val="2"/>
            <w:tcBorders>
              <w:top w:val="single" w:color="000000" w:sz="4" w:space="0"/>
              <w:left w:val="single" w:color="000000" w:sz="4" w:space="0"/>
              <w:bottom w:val="single" w:color="000000" w:sz="4" w:space="0"/>
              <w:right w:val="single" w:color="000000" w:sz="4" w:space="0"/>
            </w:tcBorders>
            <w:noWrap w:val="0"/>
            <w:vAlign w:val="center"/>
          </w:tcPr>
          <w:p w14:paraId="3B42CFD9">
            <w:pPr>
              <w:widowControl/>
              <w:jc w:val="left"/>
              <w:textAlignment w:val="center"/>
              <w:rPr>
                <w:rFonts w:hint="eastAsia" w:ascii="Times New Roman" w:hAnsi="Times New Roman" w:eastAsia="仿宋_GB2312" w:cs="Times New Roman"/>
                <w:i w:val="0"/>
                <w:color w:val="auto"/>
                <w:sz w:val="22"/>
                <w:szCs w:val="22"/>
              </w:rPr>
            </w:pPr>
            <w:r>
              <w:rPr>
                <w:rFonts w:hint="eastAsia" w:ascii="Times New Roman" w:hAnsi="Times New Roman" w:eastAsia="仿宋_GB2312" w:cs="Times New Roman"/>
                <w:i w:val="0"/>
                <w:color w:val="auto"/>
                <w:kern w:val="0"/>
                <w:sz w:val="22"/>
                <w:szCs w:val="22"/>
                <w:lang w:val="en-US" w:eastAsia="zh-CN" w:bidi="ar-SA"/>
              </w:rPr>
              <w:t>每月检测维护强切、强启项目设备，确保正常使用，否则一项扣1分</w:t>
            </w:r>
          </w:p>
        </w:tc>
        <w:tc>
          <w:tcPr>
            <w:tcW w:w="1035" w:type="dxa"/>
            <w:tcBorders>
              <w:top w:val="single" w:color="000000" w:sz="4" w:space="0"/>
              <w:left w:val="single" w:color="000000" w:sz="4" w:space="0"/>
              <w:bottom w:val="single" w:color="000000" w:sz="4" w:space="0"/>
              <w:right w:val="single" w:color="000000" w:sz="4" w:space="0"/>
            </w:tcBorders>
            <w:noWrap w:val="0"/>
            <w:vAlign w:val="center"/>
          </w:tcPr>
          <w:p w14:paraId="6F02DE5A">
            <w:pPr>
              <w:widowControl/>
              <w:jc w:val="center"/>
              <w:textAlignment w:val="center"/>
              <w:rPr>
                <w:rFonts w:hint="eastAsia" w:ascii="Times New Roman" w:hAnsi="Times New Roman" w:eastAsia="仿宋_GB2312" w:cs="Times New Roman"/>
                <w:i w:val="0"/>
                <w:color w:val="auto"/>
                <w:sz w:val="22"/>
                <w:szCs w:val="22"/>
              </w:rPr>
            </w:pPr>
            <w:r>
              <w:rPr>
                <w:rFonts w:hint="eastAsia" w:ascii="Times New Roman" w:hAnsi="Times New Roman" w:eastAsia="仿宋_GB2312" w:cs="Times New Roman"/>
                <w:i w:val="0"/>
                <w:color w:val="auto"/>
                <w:kern w:val="0"/>
                <w:sz w:val="22"/>
                <w:szCs w:val="22"/>
                <w:lang w:val="en-US" w:eastAsia="zh-CN" w:bidi="ar-SA"/>
              </w:rPr>
              <w:t>2</w:t>
            </w:r>
          </w:p>
        </w:tc>
        <w:tc>
          <w:tcPr>
            <w:tcW w:w="930" w:type="dxa"/>
            <w:tcBorders>
              <w:top w:val="single" w:color="000000" w:sz="4" w:space="0"/>
              <w:left w:val="single" w:color="000000" w:sz="4" w:space="0"/>
              <w:bottom w:val="single" w:color="000000" w:sz="4" w:space="0"/>
              <w:right w:val="single" w:color="000000" w:sz="4" w:space="0"/>
            </w:tcBorders>
            <w:noWrap w:val="0"/>
            <w:vAlign w:val="top"/>
          </w:tcPr>
          <w:p w14:paraId="7D68F916">
            <w:pPr>
              <w:jc w:val="both"/>
              <w:rPr>
                <w:rFonts w:hint="eastAsia" w:ascii="Times New Roman" w:hAnsi="Times New Roman" w:eastAsia="仿宋_GB2312" w:cs="Times New Roman"/>
                <w:i w:val="0"/>
                <w:color w:val="auto"/>
                <w:sz w:val="22"/>
                <w:szCs w:val="22"/>
              </w:rPr>
            </w:pPr>
          </w:p>
        </w:tc>
        <w:tc>
          <w:tcPr>
            <w:tcW w:w="990" w:type="dxa"/>
            <w:tcBorders>
              <w:top w:val="single" w:color="000000" w:sz="4" w:space="0"/>
              <w:left w:val="single" w:color="000000" w:sz="4" w:space="0"/>
              <w:bottom w:val="single" w:color="000000" w:sz="4" w:space="0"/>
              <w:right w:val="single" w:color="000000" w:sz="4" w:space="0"/>
            </w:tcBorders>
            <w:noWrap w:val="0"/>
            <w:vAlign w:val="top"/>
          </w:tcPr>
          <w:p w14:paraId="16ECB7BE">
            <w:pPr>
              <w:jc w:val="both"/>
              <w:rPr>
                <w:rFonts w:hint="eastAsia" w:ascii="Times New Roman" w:hAnsi="Times New Roman" w:eastAsia="仿宋_GB2312" w:cs="Times New Roman"/>
                <w:i w:val="0"/>
                <w:color w:val="auto"/>
                <w:sz w:val="22"/>
                <w:szCs w:val="22"/>
              </w:rPr>
            </w:pPr>
          </w:p>
        </w:tc>
      </w:tr>
      <w:tr w14:paraId="040B31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1"/>
          <w:wAfter w:w="15" w:type="dxa"/>
          <w:trHeight w:val="585" w:hRule="atLeast"/>
        </w:trPr>
        <w:tc>
          <w:tcPr>
            <w:tcW w:w="720" w:type="dxa"/>
            <w:tcBorders>
              <w:top w:val="single" w:color="000000" w:sz="4" w:space="0"/>
              <w:left w:val="single" w:color="000000" w:sz="4" w:space="0"/>
              <w:bottom w:val="single" w:color="000000" w:sz="4" w:space="0"/>
              <w:right w:val="single" w:color="000000" w:sz="4" w:space="0"/>
            </w:tcBorders>
            <w:noWrap w:val="0"/>
            <w:vAlign w:val="center"/>
          </w:tcPr>
          <w:p w14:paraId="70B7FA95">
            <w:pPr>
              <w:widowControl/>
              <w:jc w:val="center"/>
              <w:textAlignment w:val="center"/>
              <w:rPr>
                <w:rFonts w:hint="eastAsia" w:ascii="Times New Roman" w:hAnsi="Times New Roman" w:eastAsia="仿宋_GB2312" w:cs="Times New Roman"/>
                <w:i w:val="0"/>
                <w:color w:val="auto"/>
                <w:sz w:val="22"/>
                <w:szCs w:val="22"/>
              </w:rPr>
            </w:pPr>
            <w:r>
              <w:rPr>
                <w:rFonts w:hint="eastAsia" w:ascii="Times New Roman" w:hAnsi="Times New Roman" w:eastAsia="仿宋_GB2312" w:cs="Times New Roman"/>
                <w:i w:val="0"/>
                <w:color w:val="auto"/>
                <w:kern w:val="0"/>
                <w:sz w:val="22"/>
                <w:szCs w:val="22"/>
                <w:lang w:val="en-US" w:eastAsia="zh-CN" w:bidi="ar-SA"/>
              </w:rPr>
              <w:t>3</w:t>
            </w:r>
          </w:p>
        </w:tc>
        <w:tc>
          <w:tcPr>
            <w:tcW w:w="1566" w:type="dxa"/>
            <w:gridSpan w:val="2"/>
            <w:tcBorders>
              <w:top w:val="single" w:color="000000" w:sz="4" w:space="0"/>
              <w:left w:val="single" w:color="000000" w:sz="4" w:space="0"/>
              <w:bottom w:val="single" w:color="000000" w:sz="4" w:space="0"/>
              <w:right w:val="single" w:color="000000" w:sz="4" w:space="0"/>
            </w:tcBorders>
            <w:noWrap w:val="0"/>
            <w:vAlign w:val="center"/>
          </w:tcPr>
          <w:p w14:paraId="108F4FA6">
            <w:pPr>
              <w:widowControl/>
              <w:jc w:val="left"/>
              <w:textAlignment w:val="center"/>
              <w:rPr>
                <w:rFonts w:hint="eastAsia" w:ascii="Times New Roman" w:hAnsi="Times New Roman" w:eastAsia="仿宋_GB2312" w:cs="Times New Roman"/>
                <w:i w:val="0"/>
                <w:color w:val="auto"/>
                <w:sz w:val="22"/>
                <w:szCs w:val="22"/>
              </w:rPr>
            </w:pPr>
            <w:r>
              <w:rPr>
                <w:rFonts w:hint="eastAsia" w:ascii="Times New Roman" w:hAnsi="Times New Roman" w:eastAsia="仿宋_GB2312" w:cs="Times New Roman"/>
                <w:i w:val="0"/>
                <w:color w:val="auto"/>
                <w:kern w:val="0"/>
                <w:sz w:val="22"/>
                <w:szCs w:val="22"/>
                <w:lang w:val="en-US" w:eastAsia="zh-CN" w:bidi="ar-SA"/>
              </w:rPr>
              <w:t>联动警铃和消防广播</w:t>
            </w:r>
          </w:p>
        </w:tc>
        <w:tc>
          <w:tcPr>
            <w:tcW w:w="3690" w:type="dxa"/>
            <w:gridSpan w:val="2"/>
            <w:tcBorders>
              <w:top w:val="single" w:color="000000" w:sz="4" w:space="0"/>
              <w:left w:val="single" w:color="000000" w:sz="4" w:space="0"/>
              <w:bottom w:val="single" w:color="000000" w:sz="4" w:space="0"/>
              <w:right w:val="single" w:color="000000" w:sz="4" w:space="0"/>
            </w:tcBorders>
            <w:noWrap w:val="0"/>
            <w:vAlign w:val="center"/>
          </w:tcPr>
          <w:p w14:paraId="3619CFE4">
            <w:pPr>
              <w:widowControl/>
              <w:jc w:val="left"/>
              <w:textAlignment w:val="center"/>
              <w:rPr>
                <w:rFonts w:hint="eastAsia" w:ascii="Times New Roman" w:hAnsi="Times New Roman" w:eastAsia="仿宋_GB2312" w:cs="Times New Roman"/>
                <w:i w:val="0"/>
                <w:color w:val="auto"/>
                <w:sz w:val="22"/>
                <w:szCs w:val="22"/>
              </w:rPr>
            </w:pPr>
            <w:r>
              <w:rPr>
                <w:rFonts w:hint="eastAsia" w:ascii="Times New Roman" w:hAnsi="Times New Roman" w:eastAsia="仿宋_GB2312" w:cs="Times New Roman"/>
                <w:i w:val="0"/>
                <w:color w:val="auto"/>
                <w:kern w:val="0"/>
                <w:sz w:val="22"/>
                <w:szCs w:val="22"/>
                <w:lang w:val="en-US" w:eastAsia="zh-CN" w:bidi="ar-SA"/>
              </w:rPr>
              <w:t>发现一处无法正常工作扣1分</w:t>
            </w:r>
          </w:p>
        </w:tc>
        <w:tc>
          <w:tcPr>
            <w:tcW w:w="1035" w:type="dxa"/>
            <w:tcBorders>
              <w:top w:val="single" w:color="000000" w:sz="4" w:space="0"/>
              <w:left w:val="single" w:color="000000" w:sz="4" w:space="0"/>
              <w:bottom w:val="single" w:color="000000" w:sz="4" w:space="0"/>
              <w:right w:val="single" w:color="000000" w:sz="4" w:space="0"/>
            </w:tcBorders>
            <w:noWrap w:val="0"/>
            <w:vAlign w:val="center"/>
          </w:tcPr>
          <w:p w14:paraId="23900654">
            <w:pPr>
              <w:widowControl/>
              <w:jc w:val="center"/>
              <w:textAlignment w:val="center"/>
              <w:rPr>
                <w:rFonts w:hint="eastAsia" w:ascii="Times New Roman" w:hAnsi="Times New Roman" w:eastAsia="仿宋_GB2312" w:cs="Times New Roman"/>
                <w:i w:val="0"/>
                <w:color w:val="auto"/>
                <w:sz w:val="22"/>
                <w:szCs w:val="22"/>
              </w:rPr>
            </w:pPr>
            <w:r>
              <w:rPr>
                <w:rFonts w:hint="eastAsia" w:ascii="Times New Roman" w:hAnsi="Times New Roman" w:eastAsia="仿宋_GB2312" w:cs="Times New Roman"/>
                <w:i w:val="0"/>
                <w:color w:val="auto"/>
                <w:kern w:val="0"/>
                <w:sz w:val="22"/>
                <w:szCs w:val="22"/>
                <w:lang w:val="en-US" w:eastAsia="zh-CN" w:bidi="ar-SA"/>
              </w:rPr>
              <w:t>3</w:t>
            </w:r>
          </w:p>
        </w:tc>
        <w:tc>
          <w:tcPr>
            <w:tcW w:w="930" w:type="dxa"/>
            <w:tcBorders>
              <w:top w:val="single" w:color="000000" w:sz="4" w:space="0"/>
              <w:left w:val="single" w:color="000000" w:sz="4" w:space="0"/>
              <w:bottom w:val="single" w:color="000000" w:sz="4" w:space="0"/>
              <w:right w:val="single" w:color="000000" w:sz="4" w:space="0"/>
            </w:tcBorders>
            <w:noWrap w:val="0"/>
            <w:vAlign w:val="top"/>
          </w:tcPr>
          <w:p w14:paraId="59812238">
            <w:pPr>
              <w:jc w:val="both"/>
              <w:rPr>
                <w:rFonts w:hint="eastAsia" w:ascii="Times New Roman" w:hAnsi="Times New Roman" w:eastAsia="仿宋_GB2312" w:cs="Times New Roman"/>
                <w:i w:val="0"/>
                <w:color w:val="auto"/>
                <w:sz w:val="22"/>
                <w:szCs w:val="22"/>
              </w:rPr>
            </w:pPr>
          </w:p>
        </w:tc>
        <w:tc>
          <w:tcPr>
            <w:tcW w:w="990" w:type="dxa"/>
            <w:tcBorders>
              <w:top w:val="single" w:color="000000" w:sz="4" w:space="0"/>
              <w:left w:val="single" w:color="000000" w:sz="4" w:space="0"/>
              <w:bottom w:val="single" w:color="000000" w:sz="4" w:space="0"/>
              <w:right w:val="single" w:color="000000" w:sz="4" w:space="0"/>
            </w:tcBorders>
            <w:noWrap w:val="0"/>
            <w:vAlign w:val="top"/>
          </w:tcPr>
          <w:p w14:paraId="387F603C">
            <w:pPr>
              <w:jc w:val="both"/>
              <w:rPr>
                <w:rFonts w:hint="eastAsia" w:ascii="Times New Roman" w:hAnsi="Times New Roman" w:eastAsia="仿宋_GB2312" w:cs="Times New Roman"/>
                <w:i w:val="0"/>
                <w:color w:val="auto"/>
                <w:sz w:val="22"/>
                <w:szCs w:val="22"/>
              </w:rPr>
            </w:pPr>
          </w:p>
        </w:tc>
      </w:tr>
      <w:tr w14:paraId="3969F5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1"/>
          <w:wAfter w:w="15" w:type="dxa"/>
          <w:trHeight w:val="585" w:hRule="atLeast"/>
        </w:trPr>
        <w:tc>
          <w:tcPr>
            <w:tcW w:w="720" w:type="dxa"/>
            <w:tcBorders>
              <w:top w:val="single" w:color="000000" w:sz="4" w:space="0"/>
              <w:left w:val="single" w:color="000000" w:sz="4" w:space="0"/>
              <w:right w:val="single" w:color="000000" w:sz="4" w:space="0"/>
            </w:tcBorders>
            <w:noWrap w:val="0"/>
            <w:vAlign w:val="center"/>
          </w:tcPr>
          <w:p w14:paraId="76946F5D">
            <w:pPr>
              <w:widowControl/>
              <w:jc w:val="center"/>
              <w:textAlignment w:val="center"/>
              <w:rPr>
                <w:rFonts w:hint="eastAsia" w:ascii="Times New Roman" w:hAnsi="Times New Roman" w:eastAsia="仿宋_GB2312" w:cs="Times New Roman"/>
                <w:i w:val="0"/>
                <w:color w:val="auto"/>
                <w:sz w:val="22"/>
                <w:szCs w:val="22"/>
              </w:rPr>
            </w:pPr>
            <w:r>
              <w:rPr>
                <w:rFonts w:hint="eastAsia" w:ascii="Times New Roman" w:hAnsi="Times New Roman" w:eastAsia="仿宋_GB2312" w:cs="Times New Roman"/>
                <w:i w:val="0"/>
                <w:color w:val="auto"/>
                <w:kern w:val="0"/>
                <w:sz w:val="22"/>
                <w:szCs w:val="22"/>
                <w:lang w:val="en-US" w:eastAsia="zh-CN" w:bidi="ar-SA"/>
              </w:rPr>
              <w:t>4</w:t>
            </w:r>
          </w:p>
        </w:tc>
        <w:tc>
          <w:tcPr>
            <w:tcW w:w="1566" w:type="dxa"/>
            <w:gridSpan w:val="2"/>
            <w:tcBorders>
              <w:top w:val="single" w:color="000000" w:sz="4" w:space="0"/>
              <w:left w:val="single" w:color="000000" w:sz="4" w:space="0"/>
              <w:right w:val="single" w:color="000000" w:sz="4" w:space="0"/>
            </w:tcBorders>
            <w:noWrap w:val="0"/>
            <w:vAlign w:val="center"/>
          </w:tcPr>
          <w:p w14:paraId="33BEA854">
            <w:pPr>
              <w:widowControl/>
              <w:jc w:val="left"/>
              <w:textAlignment w:val="center"/>
              <w:rPr>
                <w:rFonts w:hint="eastAsia" w:ascii="Times New Roman" w:hAnsi="Times New Roman" w:eastAsia="仿宋_GB2312" w:cs="Times New Roman"/>
                <w:i w:val="0"/>
                <w:color w:val="auto"/>
                <w:sz w:val="22"/>
                <w:szCs w:val="22"/>
              </w:rPr>
            </w:pPr>
            <w:r>
              <w:rPr>
                <w:rFonts w:hint="eastAsia" w:ascii="Times New Roman" w:hAnsi="Times New Roman" w:eastAsia="仿宋_GB2312" w:cs="Times New Roman"/>
                <w:i w:val="0"/>
                <w:color w:val="auto"/>
                <w:kern w:val="0"/>
                <w:sz w:val="22"/>
                <w:szCs w:val="22"/>
                <w:lang w:val="en-US" w:eastAsia="zh-CN" w:bidi="ar-SA"/>
              </w:rPr>
              <w:t>排烟风机、正压送风机</w:t>
            </w:r>
          </w:p>
        </w:tc>
        <w:tc>
          <w:tcPr>
            <w:tcW w:w="3690" w:type="dxa"/>
            <w:gridSpan w:val="2"/>
            <w:tcBorders>
              <w:top w:val="single" w:color="000000" w:sz="4" w:space="0"/>
              <w:left w:val="single" w:color="000000" w:sz="4" w:space="0"/>
              <w:bottom w:val="single" w:color="000000" w:sz="4" w:space="0"/>
              <w:right w:val="single" w:color="000000" w:sz="4" w:space="0"/>
            </w:tcBorders>
            <w:noWrap w:val="0"/>
            <w:vAlign w:val="center"/>
          </w:tcPr>
          <w:p w14:paraId="310DFFEC">
            <w:pPr>
              <w:widowControl/>
              <w:jc w:val="left"/>
              <w:textAlignment w:val="center"/>
              <w:rPr>
                <w:rFonts w:hint="eastAsia" w:ascii="Times New Roman" w:hAnsi="Times New Roman" w:eastAsia="仿宋_GB2312" w:cs="Times New Roman"/>
                <w:i w:val="0"/>
                <w:color w:val="auto"/>
                <w:sz w:val="22"/>
                <w:szCs w:val="22"/>
              </w:rPr>
            </w:pPr>
            <w:r>
              <w:rPr>
                <w:rFonts w:hint="eastAsia" w:ascii="Times New Roman" w:hAnsi="Times New Roman" w:eastAsia="仿宋_GB2312" w:cs="Times New Roman"/>
                <w:i w:val="0"/>
                <w:color w:val="auto"/>
                <w:kern w:val="0"/>
                <w:sz w:val="22"/>
                <w:szCs w:val="22"/>
                <w:lang w:val="en-US" w:eastAsia="zh-CN" w:bidi="ar-SA"/>
              </w:rPr>
              <w:t>发现一处无法正常工作扣1分</w:t>
            </w:r>
          </w:p>
        </w:tc>
        <w:tc>
          <w:tcPr>
            <w:tcW w:w="1035" w:type="dxa"/>
            <w:tcBorders>
              <w:top w:val="single" w:color="000000" w:sz="4" w:space="0"/>
              <w:left w:val="single" w:color="000000" w:sz="4" w:space="0"/>
              <w:bottom w:val="single" w:color="000000" w:sz="4" w:space="0"/>
              <w:right w:val="single" w:color="000000" w:sz="4" w:space="0"/>
            </w:tcBorders>
            <w:noWrap w:val="0"/>
            <w:vAlign w:val="center"/>
          </w:tcPr>
          <w:p w14:paraId="630C7CE6">
            <w:pPr>
              <w:widowControl/>
              <w:jc w:val="center"/>
              <w:textAlignment w:val="center"/>
              <w:rPr>
                <w:rFonts w:hint="eastAsia" w:ascii="Times New Roman" w:hAnsi="Times New Roman" w:eastAsia="仿宋_GB2312" w:cs="Times New Roman"/>
                <w:i w:val="0"/>
                <w:color w:val="auto"/>
                <w:sz w:val="22"/>
                <w:szCs w:val="22"/>
              </w:rPr>
            </w:pPr>
            <w:r>
              <w:rPr>
                <w:rFonts w:hint="eastAsia" w:ascii="Times New Roman" w:hAnsi="Times New Roman" w:eastAsia="仿宋_GB2312" w:cs="Times New Roman"/>
                <w:i w:val="0"/>
                <w:color w:val="auto"/>
                <w:kern w:val="0"/>
                <w:sz w:val="22"/>
                <w:szCs w:val="22"/>
                <w:lang w:val="en-US" w:eastAsia="zh-CN" w:bidi="ar-SA"/>
              </w:rPr>
              <w:t>3</w:t>
            </w:r>
          </w:p>
        </w:tc>
        <w:tc>
          <w:tcPr>
            <w:tcW w:w="930" w:type="dxa"/>
            <w:tcBorders>
              <w:top w:val="single" w:color="000000" w:sz="4" w:space="0"/>
              <w:left w:val="single" w:color="000000" w:sz="4" w:space="0"/>
              <w:bottom w:val="single" w:color="000000" w:sz="4" w:space="0"/>
              <w:right w:val="single" w:color="000000" w:sz="4" w:space="0"/>
            </w:tcBorders>
            <w:noWrap w:val="0"/>
            <w:vAlign w:val="top"/>
          </w:tcPr>
          <w:p w14:paraId="7FF63BB9">
            <w:pPr>
              <w:jc w:val="both"/>
              <w:rPr>
                <w:rFonts w:hint="eastAsia" w:ascii="Times New Roman" w:hAnsi="Times New Roman" w:eastAsia="仿宋_GB2312" w:cs="Times New Roman"/>
                <w:i w:val="0"/>
                <w:color w:val="auto"/>
                <w:sz w:val="22"/>
                <w:szCs w:val="22"/>
              </w:rPr>
            </w:pPr>
          </w:p>
        </w:tc>
        <w:tc>
          <w:tcPr>
            <w:tcW w:w="990" w:type="dxa"/>
            <w:tcBorders>
              <w:top w:val="single" w:color="000000" w:sz="4" w:space="0"/>
              <w:left w:val="single" w:color="000000" w:sz="4" w:space="0"/>
              <w:bottom w:val="single" w:color="000000" w:sz="4" w:space="0"/>
              <w:right w:val="single" w:color="000000" w:sz="4" w:space="0"/>
            </w:tcBorders>
            <w:noWrap w:val="0"/>
            <w:vAlign w:val="top"/>
          </w:tcPr>
          <w:p w14:paraId="0936485C">
            <w:pPr>
              <w:jc w:val="both"/>
              <w:rPr>
                <w:rFonts w:hint="eastAsia" w:ascii="Times New Roman" w:hAnsi="Times New Roman" w:eastAsia="仿宋_GB2312" w:cs="Times New Roman"/>
                <w:i w:val="0"/>
                <w:color w:val="auto"/>
                <w:sz w:val="22"/>
                <w:szCs w:val="22"/>
              </w:rPr>
            </w:pPr>
          </w:p>
        </w:tc>
      </w:tr>
      <w:tr w14:paraId="08A304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1"/>
          <w:wAfter w:w="15" w:type="dxa"/>
          <w:trHeight w:val="870" w:hRule="atLeast"/>
        </w:trPr>
        <w:tc>
          <w:tcPr>
            <w:tcW w:w="720" w:type="dxa"/>
            <w:tcBorders>
              <w:top w:val="single" w:color="000000" w:sz="4" w:space="0"/>
              <w:left w:val="single" w:color="000000" w:sz="4" w:space="0"/>
              <w:bottom w:val="single" w:color="000000" w:sz="4" w:space="0"/>
              <w:right w:val="single" w:color="000000" w:sz="4" w:space="0"/>
            </w:tcBorders>
            <w:noWrap w:val="0"/>
            <w:vAlign w:val="center"/>
          </w:tcPr>
          <w:p w14:paraId="0828F629">
            <w:pPr>
              <w:widowControl/>
              <w:jc w:val="center"/>
              <w:textAlignment w:val="center"/>
              <w:rPr>
                <w:rFonts w:hint="eastAsia" w:ascii="Times New Roman" w:hAnsi="Times New Roman" w:eastAsia="仿宋_GB2312" w:cs="Times New Roman"/>
                <w:i w:val="0"/>
                <w:color w:val="auto"/>
                <w:sz w:val="22"/>
                <w:szCs w:val="22"/>
              </w:rPr>
            </w:pPr>
            <w:r>
              <w:rPr>
                <w:rFonts w:hint="eastAsia" w:ascii="Times New Roman" w:hAnsi="Times New Roman" w:eastAsia="仿宋_GB2312" w:cs="Times New Roman"/>
                <w:i w:val="0"/>
                <w:color w:val="auto"/>
                <w:kern w:val="0"/>
                <w:sz w:val="22"/>
                <w:szCs w:val="22"/>
                <w:lang w:val="en-US" w:eastAsia="zh-CN" w:bidi="ar-SA"/>
              </w:rPr>
              <w:t>5</w:t>
            </w:r>
          </w:p>
        </w:tc>
        <w:tc>
          <w:tcPr>
            <w:tcW w:w="1566" w:type="dxa"/>
            <w:gridSpan w:val="2"/>
            <w:tcBorders>
              <w:top w:val="single" w:color="000000" w:sz="4" w:space="0"/>
              <w:left w:val="single" w:color="000000" w:sz="4" w:space="0"/>
              <w:bottom w:val="single" w:color="000000" w:sz="4" w:space="0"/>
              <w:right w:val="single" w:color="000000" w:sz="4" w:space="0"/>
            </w:tcBorders>
            <w:noWrap w:val="0"/>
            <w:vAlign w:val="center"/>
          </w:tcPr>
          <w:p w14:paraId="05D210A9">
            <w:pPr>
              <w:widowControl/>
              <w:jc w:val="left"/>
              <w:textAlignment w:val="center"/>
              <w:rPr>
                <w:rFonts w:hint="eastAsia" w:ascii="Times New Roman" w:hAnsi="Times New Roman" w:eastAsia="仿宋_GB2312" w:cs="Times New Roman"/>
                <w:i w:val="0"/>
                <w:color w:val="auto"/>
                <w:sz w:val="22"/>
                <w:szCs w:val="22"/>
              </w:rPr>
            </w:pPr>
            <w:r>
              <w:rPr>
                <w:rFonts w:hint="eastAsia" w:ascii="Times New Roman" w:hAnsi="Times New Roman" w:eastAsia="仿宋_GB2312" w:cs="Times New Roman"/>
                <w:i w:val="0"/>
                <w:color w:val="auto"/>
                <w:kern w:val="0"/>
                <w:sz w:val="22"/>
                <w:szCs w:val="22"/>
                <w:lang w:val="en-US" w:eastAsia="zh-CN" w:bidi="ar-SA"/>
              </w:rPr>
              <w:t>湿式报警阀、水流指示器、压力表、控制阀</w:t>
            </w:r>
          </w:p>
        </w:tc>
        <w:tc>
          <w:tcPr>
            <w:tcW w:w="3690" w:type="dxa"/>
            <w:gridSpan w:val="2"/>
            <w:tcBorders>
              <w:top w:val="single" w:color="000000" w:sz="4" w:space="0"/>
              <w:left w:val="single" w:color="000000" w:sz="4" w:space="0"/>
              <w:bottom w:val="single" w:color="000000" w:sz="4" w:space="0"/>
              <w:right w:val="single" w:color="000000" w:sz="4" w:space="0"/>
            </w:tcBorders>
            <w:noWrap w:val="0"/>
            <w:vAlign w:val="center"/>
          </w:tcPr>
          <w:p w14:paraId="5ECEBF4D">
            <w:pPr>
              <w:widowControl/>
              <w:jc w:val="left"/>
              <w:textAlignment w:val="center"/>
              <w:rPr>
                <w:rFonts w:hint="eastAsia" w:ascii="Times New Roman" w:hAnsi="Times New Roman" w:eastAsia="仿宋_GB2312" w:cs="Times New Roman"/>
                <w:i w:val="0"/>
                <w:color w:val="auto"/>
                <w:sz w:val="22"/>
                <w:szCs w:val="22"/>
              </w:rPr>
            </w:pPr>
            <w:r>
              <w:rPr>
                <w:rFonts w:hint="eastAsia" w:ascii="Times New Roman" w:hAnsi="Times New Roman" w:eastAsia="仿宋_GB2312" w:cs="Times New Roman"/>
                <w:i w:val="0"/>
                <w:color w:val="auto"/>
                <w:kern w:val="0"/>
                <w:sz w:val="22"/>
                <w:szCs w:val="22"/>
                <w:lang w:val="en-US" w:eastAsia="zh-CN" w:bidi="ar-SA"/>
              </w:rPr>
              <w:t>每月检测维护，确保正常使用，否则一项扣1分</w:t>
            </w:r>
          </w:p>
        </w:tc>
        <w:tc>
          <w:tcPr>
            <w:tcW w:w="1035" w:type="dxa"/>
            <w:tcBorders>
              <w:top w:val="single" w:color="000000" w:sz="4" w:space="0"/>
              <w:left w:val="single" w:color="000000" w:sz="4" w:space="0"/>
              <w:bottom w:val="single" w:color="000000" w:sz="4" w:space="0"/>
              <w:right w:val="single" w:color="000000" w:sz="4" w:space="0"/>
            </w:tcBorders>
            <w:noWrap w:val="0"/>
            <w:vAlign w:val="center"/>
          </w:tcPr>
          <w:p w14:paraId="6F9DAE45">
            <w:pPr>
              <w:widowControl/>
              <w:jc w:val="center"/>
              <w:textAlignment w:val="center"/>
              <w:rPr>
                <w:rFonts w:hint="eastAsia" w:ascii="Times New Roman" w:hAnsi="Times New Roman" w:eastAsia="仿宋_GB2312" w:cs="Times New Roman"/>
                <w:i w:val="0"/>
                <w:color w:val="auto"/>
                <w:sz w:val="22"/>
                <w:szCs w:val="22"/>
              </w:rPr>
            </w:pPr>
            <w:r>
              <w:rPr>
                <w:rFonts w:hint="eastAsia" w:ascii="Times New Roman" w:hAnsi="Times New Roman" w:eastAsia="仿宋_GB2312" w:cs="Times New Roman"/>
                <w:i w:val="0"/>
                <w:color w:val="auto"/>
                <w:kern w:val="0"/>
                <w:sz w:val="22"/>
                <w:szCs w:val="22"/>
                <w:lang w:val="en-US" w:eastAsia="zh-CN" w:bidi="ar-SA"/>
              </w:rPr>
              <w:t>4</w:t>
            </w:r>
          </w:p>
        </w:tc>
        <w:tc>
          <w:tcPr>
            <w:tcW w:w="930" w:type="dxa"/>
            <w:tcBorders>
              <w:top w:val="single" w:color="000000" w:sz="4" w:space="0"/>
              <w:left w:val="single" w:color="000000" w:sz="4" w:space="0"/>
              <w:bottom w:val="single" w:color="000000" w:sz="4" w:space="0"/>
              <w:right w:val="single" w:color="000000" w:sz="4" w:space="0"/>
            </w:tcBorders>
            <w:noWrap w:val="0"/>
            <w:vAlign w:val="top"/>
          </w:tcPr>
          <w:p w14:paraId="3394D654">
            <w:pPr>
              <w:jc w:val="both"/>
              <w:rPr>
                <w:rFonts w:hint="eastAsia" w:ascii="Times New Roman" w:hAnsi="Times New Roman" w:eastAsia="仿宋_GB2312" w:cs="Times New Roman"/>
                <w:i w:val="0"/>
                <w:color w:val="auto"/>
                <w:sz w:val="22"/>
                <w:szCs w:val="22"/>
              </w:rPr>
            </w:pPr>
          </w:p>
        </w:tc>
        <w:tc>
          <w:tcPr>
            <w:tcW w:w="990" w:type="dxa"/>
            <w:tcBorders>
              <w:top w:val="single" w:color="000000" w:sz="4" w:space="0"/>
              <w:left w:val="single" w:color="000000" w:sz="4" w:space="0"/>
              <w:bottom w:val="single" w:color="000000" w:sz="4" w:space="0"/>
              <w:right w:val="single" w:color="000000" w:sz="4" w:space="0"/>
            </w:tcBorders>
            <w:noWrap w:val="0"/>
            <w:vAlign w:val="top"/>
          </w:tcPr>
          <w:p w14:paraId="27FACFF3">
            <w:pPr>
              <w:jc w:val="both"/>
              <w:rPr>
                <w:rFonts w:hint="eastAsia" w:ascii="Times New Roman" w:hAnsi="Times New Roman" w:eastAsia="仿宋_GB2312" w:cs="Times New Roman"/>
                <w:i w:val="0"/>
                <w:color w:val="auto"/>
                <w:sz w:val="22"/>
                <w:szCs w:val="22"/>
              </w:rPr>
            </w:pPr>
          </w:p>
        </w:tc>
      </w:tr>
      <w:tr w14:paraId="6BE3E9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1"/>
          <w:wAfter w:w="15" w:type="dxa"/>
          <w:trHeight w:val="585" w:hRule="atLeast"/>
        </w:trPr>
        <w:tc>
          <w:tcPr>
            <w:tcW w:w="720" w:type="dxa"/>
            <w:tcBorders>
              <w:top w:val="single" w:color="000000" w:sz="4" w:space="0"/>
              <w:left w:val="single" w:color="000000" w:sz="4" w:space="0"/>
              <w:bottom w:val="single" w:color="000000" w:sz="4" w:space="0"/>
              <w:right w:val="single" w:color="000000" w:sz="4" w:space="0"/>
            </w:tcBorders>
            <w:noWrap w:val="0"/>
            <w:vAlign w:val="center"/>
          </w:tcPr>
          <w:p w14:paraId="047FE25B">
            <w:pPr>
              <w:widowControl/>
              <w:jc w:val="center"/>
              <w:textAlignment w:val="center"/>
              <w:rPr>
                <w:rFonts w:hint="eastAsia" w:ascii="Times New Roman" w:hAnsi="Times New Roman" w:eastAsia="仿宋_GB2312" w:cs="Times New Roman"/>
                <w:i w:val="0"/>
                <w:color w:val="auto"/>
                <w:sz w:val="22"/>
                <w:szCs w:val="22"/>
              </w:rPr>
            </w:pPr>
            <w:r>
              <w:rPr>
                <w:rFonts w:hint="eastAsia" w:ascii="Times New Roman" w:hAnsi="Times New Roman" w:eastAsia="仿宋_GB2312" w:cs="Times New Roman"/>
                <w:i w:val="0"/>
                <w:color w:val="auto"/>
                <w:kern w:val="0"/>
                <w:sz w:val="22"/>
                <w:szCs w:val="22"/>
                <w:lang w:val="en-US" w:eastAsia="zh-CN" w:bidi="ar-SA"/>
              </w:rPr>
              <w:t>6</w:t>
            </w:r>
          </w:p>
        </w:tc>
        <w:tc>
          <w:tcPr>
            <w:tcW w:w="1566" w:type="dxa"/>
            <w:gridSpan w:val="2"/>
            <w:tcBorders>
              <w:top w:val="single" w:color="000000" w:sz="4" w:space="0"/>
              <w:left w:val="single" w:color="000000" w:sz="4" w:space="0"/>
              <w:bottom w:val="single" w:color="000000" w:sz="4" w:space="0"/>
              <w:right w:val="single" w:color="000000" w:sz="4" w:space="0"/>
            </w:tcBorders>
            <w:noWrap w:val="0"/>
            <w:vAlign w:val="center"/>
          </w:tcPr>
          <w:p w14:paraId="598133C3">
            <w:pPr>
              <w:widowControl/>
              <w:jc w:val="center"/>
              <w:textAlignment w:val="center"/>
              <w:rPr>
                <w:rFonts w:hint="eastAsia" w:ascii="Times New Roman" w:hAnsi="Times New Roman" w:eastAsia="仿宋_GB2312" w:cs="Times New Roman"/>
                <w:i w:val="0"/>
                <w:color w:val="auto"/>
                <w:sz w:val="22"/>
                <w:szCs w:val="22"/>
              </w:rPr>
            </w:pPr>
            <w:r>
              <w:rPr>
                <w:rFonts w:hint="eastAsia" w:ascii="Times New Roman" w:hAnsi="Times New Roman" w:eastAsia="仿宋_GB2312" w:cs="Times New Roman"/>
                <w:i w:val="0"/>
                <w:color w:val="auto"/>
                <w:kern w:val="0"/>
                <w:sz w:val="22"/>
                <w:szCs w:val="22"/>
                <w:lang w:val="en-US" w:eastAsia="zh-CN" w:bidi="ar-SA"/>
              </w:rPr>
              <w:t>电梯归首</w:t>
            </w:r>
          </w:p>
        </w:tc>
        <w:tc>
          <w:tcPr>
            <w:tcW w:w="3690" w:type="dxa"/>
            <w:gridSpan w:val="2"/>
            <w:tcBorders>
              <w:top w:val="single" w:color="000000" w:sz="4" w:space="0"/>
              <w:left w:val="single" w:color="000000" w:sz="4" w:space="0"/>
              <w:bottom w:val="single" w:color="000000" w:sz="4" w:space="0"/>
              <w:right w:val="single" w:color="000000" w:sz="4" w:space="0"/>
            </w:tcBorders>
            <w:noWrap w:val="0"/>
            <w:vAlign w:val="center"/>
          </w:tcPr>
          <w:p w14:paraId="0FF2B5FD">
            <w:pPr>
              <w:widowControl/>
              <w:jc w:val="left"/>
              <w:textAlignment w:val="center"/>
              <w:rPr>
                <w:rFonts w:hint="eastAsia" w:ascii="Times New Roman" w:hAnsi="Times New Roman" w:eastAsia="仿宋_GB2312" w:cs="Times New Roman"/>
                <w:i w:val="0"/>
                <w:color w:val="auto"/>
                <w:sz w:val="22"/>
                <w:szCs w:val="22"/>
              </w:rPr>
            </w:pPr>
            <w:r>
              <w:rPr>
                <w:rFonts w:hint="eastAsia" w:ascii="Times New Roman" w:hAnsi="Times New Roman" w:eastAsia="仿宋_GB2312" w:cs="Times New Roman"/>
                <w:i w:val="0"/>
                <w:color w:val="auto"/>
                <w:kern w:val="0"/>
                <w:sz w:val="22"/>
                <w:szCs w:val="22"/>
                <w:lang w:val="en-US" w:eastAsia="zh-CN" w:bidi="ar-SA"/>
              </w:rPr>
              <w:t>每月检测一次并做好记录，发现一部电梯无法正常归首扣2分</w:t>
            </w:r>
          </w:p>
        </w:tc>
        <w:tc>
          <w:tcPr>
            <w:tcW w:w="1035" w:type="dxa"/>
            <w:tcBorders>
              <w:top w:val="single" w:color="000000" w:sz="4" w:space="0"/>
              <w:left w:val="single" w:color="000000" w:sz="4" w:space="0"/>
              <w:bottom w:val="single" w:color="000000" w:sz="4" w:space="0"/>
              <w:right w:val="single" w:color="000000" w:sz="4" w:space="0"/>
            </w:tcBorders>
            <w:noWrap w:val="0"/>
            <w:vAlign w:val="center"/>
          </w:tcPr>
          <w:p w14:paraId="0D8B4D4D">
            <w:pPr>
              <w:widowControl/>
              <w:jc w:val="center"/>
              <w:textAlignment w:val="center"/>
              <w:rPr>
                <w:rFonts w:hint="eastAsia" w:ascii="Times New Roman" w:hAnsi="Times New Roman" w:eastAsia="仿宋_GB2312" w:cs="Times New Roman"/>
                <w:i w:val="0"/>
                <w:color w:val="auto"/>
                <w:sz w:val="22"/>
                <w:szCs w:val="22"/>
              </w:rPr>
            </w:pPr>
            <w:r>
              <w:rPr>
                <w:rFonts w:hint="eastAsia" w:ascii="Times New Roman" w:hAnsi="Times New Roman" w:eastAsia="仿宋_GB2312" w:cs="Times New Roman"/>
                <w:i w:val="0"/>
                <w:color w:val="auto"/>
                <w:kern w:val="0"/>
                <w:sz w:val="22"/>
                <w:szCs w:val="22"/>
                <w:lang w:val="en-US" w:eastAsia="zh-CN" w:bidi="ar-SA"/>
              </w:rPr>
              <w:t>2</w:t>
            </w:r>
          </w:p>
        </w:tc>
        <w:tc>
          <w:tcPr>
            <w:tcW w:w="930" w:type="dxa"/>
            <w:tcBorders>
              <w:top w:val="single" w:color="000000" w:sz="4" w:space="0"/>
              <w:left w:val="single" w:color="000000" w:sz="4" w:space="0"/>
              <w:bottom w:val="single" w:color="000000" w:sz="4" w:space="0"/>
              <w:right w:val="single" w:color="000000" w:sz="4" w:space="0"/>
            </w:tcBorders>
            <w:noWrap w:val="0"/>
            <w:vAlign w:val="top"/>
          </w:tcPr>
          <w:p w14:paraId="2689EA9E">
            <w:pPr>
              <w:jc w:val="both"/>
              <w:rPr>
                <w:rFonts w:hint="eastAsia" w:ascii="Times New Roman" w:hAnsi="Times New Roman" w:eastAsia="仿宋_GB2312" w:cs="Times New Roman"/>
                <w:i w:val="0"/>
                <w:color w:val="auto"/>
                <w:sz w:val="22"/>
                <w:szCs w:val="22"/>
              </w:rPr>
            </w:pPr>
          </w:p>
        </w:tc>
        <w:tc>
          <w:tcPr>
            <w:tcW w:w="990" w:type="dxa"/>
            <w:tcBorders>
              <w:top w:val="single" w:color="000000" w:sz="4" w:space="0"/>
              <w:left w:val="single" w:color="000000" w:sz="4" w:space="0"/>
              <w:bottom w:val="single" w:color="000000" w:sz="4" w:space="0"/>
              <w:right w:val="single" w:color="000000" w:sz="4" w:space="0"/>
            </w:tcBorders>
            <w:noWrap w:val="0"/>
            <w:vAlign w:val="top"/>
          </w:tcPr>
          <w:p w14:paraId="0196D46A">
            <w:pPr>
              <w:jc w:val="both"/>
              <w:rPr>
                <w:rFonts w:hint="eastAsia" w:ascii="Times New Roman" w:hAnsi="Times New Roman" w:eastAsia="仿宋_GB2312" w:cs="Times New Roman"/>
                <w:i w:val="0"/>
                <w:color w:val="auto"/>
                <w:sz w:val="22"/>
                <w:szCs w:val="22"/>
              </w:rPr>
            </w:pPr>
          </w:p>
        </w:tc>
      </w:tr>
      <w:tr w14:paraId="4E1EE5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1"/>
          <w:wAfter w:w="15" w:type="dxa"/>
          <w:trHeight w:val="315" w:hRule="atLeast"/>
        </w:trPr>
        <w:tc>
          <w:tcPr>
            <w:tcW w:w="720" w:type="dxa"/>
            <w:vMerge w:val="restart"/>
            <w:tcBorders>
              <w:top w:val="single" w:color="000000" w:sz="4" w:space="0"/>
              <w:left w:val="single" w:color="000000" w:sz="4" w:space="0"/>
              <w:bottom w:val="single" w:color="000000" w:sz="4" w:space="0"/>
              <w:right w:val="single" w:color="000000" w:sz="4" w:space="0"/>
            </w:tcBorders>
            <w:noWrap w:val="0"/>
            <w:vAlign w:val="center"/>
          </w:tcPr>
          <w:p w14:paraId="388E87AA">
            <w:pPr>
              <w:widowControl/>
              <w:jc w:val="center"/>
              <w:textAlignment w:val="center"/>
              <w:rPr>
                <w:rFonts w:hint="eastAsia" w:ascii="Times New Roman" w:hAnsi="Times New Roman" w:eastAsia="仿宋_GB2312" w:cs="Times New Roman"/>
                <w:i w:val="0"/>
                <w:color w:val="auto"/>
                <w:sz w:val="22"/>
                <w:szCs w:val="22"/>
              </w:rPr>
            </w:pPr>
            <w:r>
              <w:rPr>
                <w:rFonts w:hint="eastAsia" w:ascii="Times New Roman" w:hAnsi="Times New Roman" w:eastAsia="仿宋_GB2312" w:cs="Times New Roman"/>
                <w:i w:val="0"/>
                <w:color w:val="auto"/>
                <w:kern w:val="0"/>
                <w:sz w:val="22"/>
                <w:szCs w:val="22"/>
                <w:lang w:val="en-US" w:eastAsia="zh-CN" w:bidi="ar-SA"/>
              </w:rPr>
              <w:t>7</w:t>
            </w:r>
          </w:p>
        </w:tc>
        <w:tc>
          <w:tcPr>
            <w:tcW w:w="1566"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325C62F1">
            <w:pPr>
              <w:widowControl/>
              <w:jc w:val="center"/>
              <w:textAlignment w:val="center"/>
              <w:rPr>
                <w:rFonts w:hint="eastAsia" w:ascii="Times New Roman" w:hAnsi="Times New Roman" w:eastAsia="仿宋_GB2312" w:cs="Times New Roman"/>
                <w:i w:val="0"/>
                <w:color w:val="auto"/>
                <w:sz w:val="22"/>
                <w:szCs w:val="22"/>
              </w:rPr>
            </w:pPr>
            <w:r>
              <w:rPr>
                <w:rFonts w:hint="eastAsia" w:ascii="Times New Roman" w:hAnsi="Times New Roman" w:eastAsia="仿宋_GB2312" w:cs="Times New Roman"/>
                <w:i w:val="0"/>
                <w:color w:val="auto"/>
                <w:kern w:val="0"/>
                <w:sz w:val="22"/>
                <w:szCs w:val="22"/>
                <w:lang w:val="en-US" w:eastAsia="zh-CN" w:bidi="ar-SA"/>
              </w:rPr>
              <w:t>卷帘门、防火阀</w:t>
            </w:r>
          </w:p>
        </w:tc>
        <w:tc>
          <w:tcPr>
            <w:tcW w:w="3690"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43560499">
            <w:pPr>
              <w:widowControl/>
              <w:jc w:val="left"/>
              <w:textAlignment w:val="center"/>
              <w:rPr>
                <w:rFonts w:hint="eastAsia" w:ascii="Times New Roman" w:hAnsi="Times New Roman" w:eastAsia="仿宋_GB2312" w:cs="Times New Roman"/>
                <w:i w:val="0"/>
                <w:color w:val="auto"/>
                <w:sz w:val="22"/>
                <w:szCs w:val="22"/>
              </w:rPr>
            </w:pPr>
            <w:r>
              <w:rPr>
                <w:rFonts w:hint="eastAsia" w:ascii="Times New Roman" w:hAnsi="Times New Roman" w:eastAsia="仿宋_GB2312" w:cs="Times New Roman"/>
                <w:i w:val="0"/>
                <w:color w:val="auto"/>
                <w:kern w:val="0"/>
                <w:sz w:val="22"/>
                <w:szCs w:val="22"/>
                <w:lang w:val="en-US" w:eastAsia="zh-CN" w:bidi="ar-SA"/>
              </w:rPr>
              <w:t>发现一处无法正常工作扣3分</w:t>
            </w:r>
          </w:p>
        </w:tc>
        <w:tc>
          <w:tcPr>
            <w:tcW w:w="1035" w:type="dxa"/>
            <w:vMerge w:val="restart"/>
            <w:tcBorders>
              <w:top w:val="single" w:color="000000" w:sz="4" w:space="0"/>
              <w:left w:val="single" w:color="000000" w:sz="4" w:space="0"/>
              <w:bottom w:val="single" w:color="000000" w:sz="4" w:space="0"/>
              <w:right w:val="single" w:color="000000" w:sz="4" w:space="0"/>
            </w:tcBorders>
            <w:noWrap w:val="0"/>
            <w:vAlign w:val="center"/>
          </w:tcPr>
          <w:p w14:paraId="508E1B6E">
            <w:pPr>
              <w:widowControl/>
              <w:jc w:val="center"/>
              <w:textAlignment w:val="center"/>
              <w:rPr>
                <w:rFonts w:hint="eastAsia" w:ascii="Times New Roman" w:hAnsi="Times New Roman" w:eastAsia="仿宋_GB2312" w:cs="Times New Roman"/>
                <w:i w:val="0"/>
                <w:color w:val="auto"/>
                <w:sz w:val="22"/>
                <w:szCs w:val="22"/>
              </w:rPr>
            </w:pPr>
            <w:r>
              <w:rPr>
                <w:rFonts w:hint="eastAsia" w:ascii="Times New Roman" w:hAnsi="Times New Roman" w:eastAsia="仿宋_GB2312" w:cs="Times New Roman"/>
                <w:i w:val="0"/>
                <w:color w:val="auto"/>
                <w:kern w:val="0"/>
                <w:sz w:val="22"/>
                <w:szCs w:val="22"/>
                <w:lang w:val="en-US" w:eastAsia="zh-CN" w:bidi="ar-SA"/>
              </w:rPr>
              <w:t>6</w:t>
            </w:r>
          </w:p>
        </w:tc>
        <w:tc>
          <w:tcPr>
            <w:tcW w:w="930" w:type="dxa"/>
            <w:vMerge w:val="restart"/>
            <w:tcBorders>
              <w:top w:val="single" w:color="000000" w:sz="4" w:space="0"/>
              <w:left w:val="single" w:color="000000" w:sz="4" w:space="0"/>
              <w:bottom w:val="single" w:color="000000" w:sz="4" w:space="0"/>
              <w:right w:val="single" w:color="000000" w:sz="4" w:space="0"/>
            </w:tcBorders>
            <w:noWrap w:val="0"/>
            <w:vAlign w:val="top"/>
          </w:tcPr>
          <w:p w14:paraId="33C6AF59">
            <w:pPr>
              <w:jc w:val="both"/>
              <w:rPr>
                <w:rFonts w:hint="eastAsia" w:ascii="Times New Roman" w:hAnsi="Times New Roman" w:eastAsia="仿宋_GB2312" w:cs="Times New Roman"/>
                <w:i w:val="0"/>
                <w:color w:val="auto"/>
                <w:sz w:val="22"/>
                <w:szCs w:val="22"/>
              </w:rPr>
            </w:pPr>
          </w:p>
        </w:tc>
        <w:tc>
          <w:tcPr>
            <w:tcW w:w="990" w:type="dxa"/>
            <w:vMerge w:val="restart"/>
            <w:tcBorders>
              <w:top w:val="single" w:color="000000" w:sz="4" w:space="0"/>
              <w:left w:val="single" w:color="000000" w:sz="4" w:space="0"/>
              <w:bottom w:val="single" w:color="000000" w:sz="4" w:space="0"/>
              <w:right w:val="single" w:color="000000" w:sz="4" w:space="0"/>
            </w:tcBorders>
            <w:noWrap w:val="0"/>
            <w:vAlign w:val="top"/>
          </w:tcPr>
          <w:p w14:paraId="7992F5D2">
            <w:pPr>
              <w:jc w:val="both"/>
              <w:rPr>
                <w:rFonts w:hint="eastAsia" w:ascii="Times New Roman" w:hAnsi="Times New Roman" w:eastAsia="仿宋_GB2312" w:cs="Times New Roman"/>
                <w:i w:val="0"/>
                <w:color w:val="auto"/>
                <w:sz w:val="22"/>
                <w:szCs w:val="22"/>
              </w:rPr>
            </w:pPr>
          </w:p>
        </w:tc>
      </w:tr>
      <w:tr w14:paraId="032FC5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1"/>
          <w:wAfter w:w="15" w:type="dxa"/>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noWrap w:val="0"/>
            <w:vAlign w:val="center"/>
          </w:tcPr>
          <w:p w14:paraId="5106859F">
            <w:pPr>
              <w:jc w:val="center"/>
              <w:rPr>
                <w:rFonts w:hint="eastAsia" w:ascii="Times New Roman" w:hAnsi="Times New Roman" w:eastAsia="仿宋_GB2312" w:cs="Times New Roman"/>
                <w:i w:val="0"/>
                <w:color w:val="auto"/>
                <w:sz w:val="22"/>
                <w:szCs w:val="22"/>
              </w:rPr>
            </w:pPr>
          </w:p>
        </w:tc>
        <w:tc>
          <w:tcPr>
            <w:tcW w:w="1566"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9A3C1FB">
            <w:pPr>
              <w:jc w:val="center"/>
              <w:rPr>
                <w:rFonts w:hint="eastAsia" w:ascii="Times New Roman" w:hAnsi="Times New Roman" w:eastAsia="仿宋_GB2312" w:cs="Times New Roman"/>
                <w:i w:val="0"/>
                <w:color w:val="auto"/>
                <w:sz w:val="22"/>
                <w:szCs w:val="22"/>
              </w:rPr>
            </w:pPr>
          </w:p>
        </w:tc>
        <w:tc>
          <w:tcPr>
            <w:tcW w:w="3690"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34E6A66">
            <w:pPr>
              <w:jc w:val="left"/>
              <w:rPr>
                <w:rFonts w:hint="eastAsia" w:ascii="Times New Roman" w:hAnsi="Times New Roman" w:eastAsia="仿宋_GB2312" w:cs="Times New Roman"/>
                <w:i w:val="0"/>
                <w:color w:val="auto"/>
                <w:sz w:val="22"/>
                <w:szCs w:val="22"/>
              </w:rPr>
            </w:pPr>
          </w:p>
        </w:tc>
        <w:tc>
          <w:tcPr>
            <w:tcW w:w="1035" w:type="dxa"/>
            <w:vMerge w:val="continue"/>
            <w:tcBorders>
              <w:top w:val="single" w:color="000000" w:sz="4" w:space="0"/>
              <w:left w:val="single" w:color="000000" w:sz="4" w:space="0"/>
              <w:bottom w:val="single" w:color="000000" w:sz="4" w:space="0"/>
              <w:right w:val="single" w:color="000000" w:sz="4" w:space="0"/>
            </w:tcBorders>
            <w:noWrap w:val="0"/>
            <w:vAlign w:val="center"/>
          </w:tcPr>
          <w:p w14:paraId="6877CF03">
            <w:pPr>
              <w:jc w:val="center"/>
              <w:rPr>
                <w:rFonts w:hint="eastAsia" w:ascii="Times New Roman" w:hAnsi="Times New Roman" w:eastAsia="仿宋_GB2312" w:cs="Times New Roman"/>
                <w:i w:val="0"/>
                <w:color w:val="auto"/>
                <w:sz w:val="22"/>
                <w:szCs w:val="22"/>
              </w:rPr>
            </w:pPr>
          </w:p>
        </w:tc>
        <w:tc>
          <w:tcPr>
            <w:tcW w:w="930" w:type="dxa"/>
            <w:vMerge w:val="continue"/>
            <w:tcBorders>
              <w:top w:val="single" w:color="000000" w:sz="4" w:space="0"/>
              <w:left w:val="single" w:color="000000" w:sz="4" w:space="0"/>
              <w:bottom w:val="single" w:color="000000" w:sz="4" w:space="0"/>
              <w:right w:val="single" w:color="000000" w:sz="4" w:space="0"/>
            </w:tcBorders>
            <w:noWrap w:val="0"/>
            <w:vAlign w:val="top"/>
          </w:tcPr>
          <w:p w14:paraId="50730F9F">
            <w:pPr>
              <w:jc w:val="both"/>
              <w:rPr>
                <w:rFonts w:hint="eastAsia" w:ascii="Times New Roman" w:hAnsi="Times New Roman" w:eastAsia="仿宋_GB2312" w:cs="Times New Roman"/>
                <w:i w:val="0"/>
                <w:color w:val="auto"/>
                <w:sz w:val="22"/>
                <w:szCs w:val="22"/>
              </w:rPr>
            </w:pPr>
          </w:p>
        </w:tc>
        <w:tc>
          <w:tcPr>
            <w:tcW w:w="990" w:type="dxa"/>
            <w:vMerge w:val="continue"/>
            <w:tcBorders>
              <w:top w:val="single" w:color="000000" w:sz="4" w:space="0"/>
              <w:left w:val="single" w:color="000000" w:sz="4" w:space="0"/>
              <w:bottom w:val="single" w:color="000000" w:sz="4" w:space="0"/>
              <w:right w:val="single" w:color="000000" w:sz="4" w:space="0"/>
            </w:tcBorders>
            <w:noWrap w:val="0"/>
            <w:vAlign w:val="top"/>
          </w:tcPr>
          <w:p w14:paraId="0BFEA102">
            <w:pPr>
              <w:jc w:val="both"/>
              <w:rPr>
                <w:rFonts w:hint="eastAsia" w:ascii="Times New Roman" w:hAnsi="Times New Roman" w:eastAsia="仿宋_GB2312" w:cs="Times New Roman"/>
                <w:i w:val="0"/>
                <w:color w:val="auto"/>
                <w:sz w:val="22"/>
                <w:szCs w:val="22"/>
              </w:rPr>
            </w:pPr>
          </w:p>
        </w:tc>
      </w:tr>
      <w:tr w14:paraId="29A095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1"/>
          <w:wAfter w:w="15" w:type="dxa"/>
          <w:trHeight w:val="870" w:hRule="atLeast"/>
        </w:trPr>
        <w:tc>
          <w:tcPr>
            <w:tcW w:w="720" w:type="dxa"/>
            <w:tcBorders>
              <w:top w:val="single" w:color="000000" w:sz="4" w:space="0"/>
              <w:left w:val="single" w:color="000000" w:sz="4" w:space="0"/>
              <w:bottom w:val="single" w:color="000000" w:sz="4" w:space="0"/>
              <w:right w:val="single" w:color="000000" w:sz="4" w:space="0"/>
            </w:tcBorders>
            <w:noWrap w:val="0"/>
            <w:vAlign w:val="center"/>
          </w:tcPr>
          <w:p w14:paraId="72EAF687">
            <w:pPr>
              <w:widowControl/>
              <w:jc w:val="center"/>
              <w:textAlignment w:val="center"/>
              <w:rPr>
                <w:rFonts w:hint="eastAsia" w:ascii="Times New Roman" w:hAnsi="Times New Roman" w:eastAsia="仿宋_GB2312" w:cs="Times New Roman"/>
                <w:i w:val="0"/>
                <w:color w:val="auto"/>
                <w:sz w:val="22"/>
                <w:szCs w:val="22"/>
              </w:rPr>
            </w:pPr>
            <w:r>
              <w:rPr>
                <w:rFonts w:hint="eastAsia" w:ascii="Times New Roman" w:hAnsi="Times New Roman" w:eastAsia="仿宋_GB2312" w:cs="Times New Roman"/>
                <w:i w:val="0"/>
                <w:color w:val="auto"/>
                <w:kern w:val="0"/>
                <w:sz w:val="22"/>
                <w:szCs w:val="22"/>
                <w:lang w:val="en-US" w:eastAsia="zh-CN" w:bidi="ar-SA"/>
              </w:rPr>
              <w:t>8</w:t>
            </w:r>
          </w:p>
        </w:tc>
        <w:tc>
          <w:tcPr>
            <w:tcW w:w="1566" w:type="dxa"/>
            <w:gridSpan w:val="2"/>
            <w:tcBorders>
              <w:top w:val="single" w:color="000000" w:sz="4" w:space="0"/>
              <w:left w:val="single" w:color="000000" w:sz="4" w:space="0"/>
              <w:bottom w:val="single" w:color="000000" w:sz="4" w:space="0"/>
              <w:right w:val="single" w:color="000000" w:sz="4" w:space="0"/>
            </w:tcBorders>
            <w:noWrap w:val="0"/>
            <w:vAlign w:val="center"/>
          </w:tcPr>
          <w:p w14:paraId="0C14C791">
            <w:pPr>
              <w:widowControl/>
              <w:jc w:val="left"/>
              <w:textAlignment w:val="center"/>
              <w:rPr>
                <w:rFonts w:hint="eastAsia" w:ascii="Times New Roman" w:hAnsi="Times New Roman" w:eastAsia="仿宋_GB2312" w:cs="Times New Roman"/>
                <w:i w:val="0"/>
                <w:color w:val="auto"/>
                <w:sz w:val="22"/>
                <w:szCs w:val="22"/>
              </w:rPr>
            </w:pPr>
            <w:r>
              <w:rPr>
                <w:rFonts w:hint="eastAsia" w:ascii="Times New Roman" w:hAnsi="Times New Roman" w:eastAsia="仿宋_GB2312" w:cs="Times New Roman"/>
                <w:i w:val="0"/>
                <w:color w:val="auto"/>
                <w:kern w:val="0"/>
                <w:sz w:val="22"/>
                <w:szCs w:val="22"/>
                <w:lang w:val="en-US" w:eastAsia="zh-CN" w:bidi="ar-SA"/>
              </w:rPr>
              <w:t>每月消防联动测试，消防泵点动测试</w:t>
            </w:r>
          </w:p>
        </w:tc>
        <w:tc>
          <w:tcPr>
            <w:tcW w:w="3690" w:type="dxa"/>
            <w:gridSpan w:val="2"/>
            <w:tcBorders>
              <w:top w:val="single" w:color="000000" w:sz="4" w:space="0"/>
              <w:left w:val="single" w:color="000000" w:sz="4" w:space="0"/>
              <w:bottom w:val="single" w:color="000000" w:sz="4" w:space="0"/>
              <w:right w:val="single" w:color="000000" w:sz="4" w:space="0"/>
            </w:tcBorders>
            <w:noWrap w:val="0"/>
            <w:vAlign w:val="center"/>
          </w:tcPr>
          <w:p w14:paraId="160F8FEF">
            <w:pPr>
              <w:widowControl/>
              <w:jc w:val="left"/>
              <w:textAlignment w:val="center"/>
              <w:rPr>
                <w:rFonts w:hint="eastAsia" w:ascii="Times New Roman" w:hAnsi="Times New Roman" w:eastAsia="仿宋_GB2312" w:cs="Times New Roman"/>
                <w:i w:val="0"/>
                <w:color w:val="auto"/>
                <w:sz w:val="22"/>
                <w:szCs w:val="22"/>
              </w:rPr>
            </w:pPr>
            <w:r>
              <w:rPr>
                <w:rFonts w:hint="eastAsia" w:ascii="Times New Roman" w:hAnsi="Times New Roman" w:eastAsia="仿宋_GB2312" w:cs="Times New Roman"/>
                <w:i w:val="0"/>
                <w:color w:val="auto"/>
                <w:kern w:val="0"/>
                <w:sz w:val="22"/>
                <w:szCs w:val="22"/>
                <w:lang w:val="en-US" w:eastAsia="zh-CN" w:bidi="ar-SA"/>
              </w:rPr>
              <w:t>发现一处无测试记录或无法正常工作扣3分</w:t>
            </w:r>
          </w:p>
        </w:tc>
        <w:tc>
          <w:tcPr>
            <w:tcW w:w="1035" w:type="dxa"/>
            <w:tcBorders>
              <w:top w:val="single" w:color="000000" w:sz="4" w:space="0"/>
              <w:left w:val="single" w:color="000000" w:sz="4" w:space="0"/>
              <w:bottom w:val="single" w:color="000000" w:sz="4" w:space="0"/>
              <w:right w:val="single" w:color="000000" w:sz="4" w:space="0"/>
            </w:tcBorders>
            <w:noWrap w:val="0"/>
            <w:vAlign w:val="center"/>
          </w:tcPr>
          <w:p w14:paraId="571C2595">
            <w:pPr>
              <w:widowControl/>
              <w:jc w:val="center"/>
              <w:textAlignment w:val="center"/>
              <w:rPr>
                <w:rFonts w:hint="eastAsia" w:ascii="Times New Roman" w:hAnsi="Times New Roman" w:eastAsia="仿宋_GB2312" w:cs="Times New Roman"/>
                <w:i w:val="0"/>
                <w:color w:val="auto"/>
                <w:sz w:val="22"/>
                <w:szCs w:val="22"/>
              </w:rPr>
            </w:pPr>
            <w:r>
              <w:rPr>
                <w:rFonts w:hint="eastAsia" w:ascii="Times New Roman" w:hAnsi="Times New Roman" w:eastAsia="仿宋_GB2312" w:cs="Times New Roman"/>
                <w:i w:val="0"/>
                <w:color w:val="auto"/>
                <w:kern w:val="0"/>
                <w:sz w:val="22"/>
                <w:szCs w:val="22"/>
                <w:lang w:val="en-US" w:eastAsia="zh-CN" w:bidi="ar-SA"/>
              </w:rPr>
              <w:t>6</w:t>
            </w:r>
          </w:p>
        </w:tc>
        <w:tc>
          <w:tcPr>
            <w:tcW w:w="930" w:type="dxa"/>
            <w:tcBorders>
              <w:top w:val="single" w:color="000000" w:sz="4" w:space="0"/>
              <w:left w:val="single" w:color="000000" w:sz="4" w:space="0"/>
              <w:bottom w:val="single" w:color="000000" w:sz="4" w:space="0"/>
              <w:right w:val="single" w:color="000000" w:sz="4" w:space="0"/>
            </w:tcBorders>
            <w:noWrap w:val="0"/>
            <w:vAlign w:val="top"/>
          </w:tcPr>
          <w:p w14:paraId="4DBFC6B3">
            <w:pPr>
              <w:jc w:val="both"/>
              <w:rPr>
                <w:rFonts w:hint="eastAsia" w:ascii="Times New Roman" w:hAnsi="Times New Roman" w:eastAsia="仿宋_GB2312" w:cs="Times New Roman"/>
                <w:i w:val="0"/>
                <w:color w:val="auto"/>
                <w:sz w:val="22"/>
                <w:szCs w:val="22"/>
              </w:rPr>
            </w:pPr>
          </w:p>
        </w:tc>
        <w:tc>
          <w:tcPr>
            <w:tcW w:w="990" w:type="dxa"/>
            <w:tcBorders>
              <w:top w:val="single" w:color="000000" w:sz="4" w:space="0"/>
              <w:left w:val="single" w:color="000000" w:sz="4" w:space="0"/>
              <w:bottom w:val="single" w:color="000000" w:sz="4" w:space="0"/>
              <w:right w:val="single" w:color="000000" w:sz="4" w:space="0"/>
            </w:tcBorders>
            <w:noWrap w:val="0"/>
            <w:vAlign w:val="top"/>
          </w:tcPr>
          <w:p w14:paraId="5BEFCABE">
            <w:pPr>
              <w:jc w:val="both"/>
              <w:rPr>
                <w:rFonts w:hint="eastAsia" w:ascii="Times New Roman" w:hAnsi="Times New Roman" w:eastAsia="仿宋_GB2312" w:cs="Times New Roman"/>
                <w:i w:val="0"/>
                <w:color w:val="auto"/>
                <w:sz w:val="22"/>
                <w:szCs w:val="22"/>
              </w:rPr>
            </w:pPr>
          </w:p>
        </w:tc>
      </w:tr>
      <w:tr w14:paraId="579B07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1"/>
          <w:wAfter w:w="15" w:type="dxa"/>
          <w:trHeight w:val="315" w:hRule="atLeast"/>
        </w:trPr>
        <w:tc>
          <w:tcPr>
            <w:tcW w:w="720" w:type="dxa"/>
            <w:vMerge w:val="restart"/>
            <w:tcBorders>
              <w:top w:val="single" w:color="000000" w:sz="4" w:space="0"/>
              <w:left w:val="single" w:color="000000" w:sz="4" w:space="0"/>
              <w:bottom w:val="single" w:color="000000" w:sz="4" w:space="0"/>
              <w:right w:val="single" w:color="000000" w:sz="4" w:space="0"/>
            </w:tcBorders>
            <w:noWrap w:val="0"/>
            <w:vAlign w:val="center"/>
          </w:tcPr>
          <w:p w14:paraId="11D84B4C">
            <w:pPr>
              <w:widowControl/>
              <w:jc w:val="center"/>
              <w:textAlignment w:val="center"/>
              <w:rPr>
                <w:rFonts w:hint="eastAsia" w:ascii="Times New Roman" w:hAnsi="Times New Roman" w:eastAsia="仿宋_GB2312" w:cs="Times New Roman"/>
                <w:i w:val="0"/>
                <w:color w:val="auto"/>
                <w:sz w:val="22"/>
                <w:szCs w:val="22"/>
              </w:rPr>
            </w:pPr>
            <w:r>
              <w:rPr>
                <w:rFonts w:hint="eastAsia" w:ascii="Times New Roman" w:hAnsi="Times New Roman" w:eastAsia="仿宋_GB2312" w:cs="Times New Roman"/>
                <w:i w:val="0"/>
                <w:color w:val="auto"/>
                <w:kern w:val="0"/>
                <w:sz w:val="22"/>
                <w:szCs w:val="22"/>
                <w:lang w:val="en-US" w:eastAsia="zh-CN" w:bidi="ar-SA"/>
              </w:rPr>
              <w:t>9</w:t>
            </w:r>
          </w:p>
        </w:tc>
        <w:tc>
          <w:tcPr>
            <w:tcW w:w="1566"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32E2E05A">
            <w:pPr>
              <w:widowControl/>
              <w:jc w:val="left"/>
              <w:textAlignment w:val="center"/>
              <w:rPr>
                <w:rFonts w:hint="eastAsia" w:ascii="Times New Roman" w:hAnsi="Times New Roman" w:eastAsia="仿宋_GB2312" w:cs="Times New Roman"/>
                <w:i w:val="0"/>
                <w:color w:val="auto"/>
                <w:sz w:val="22"/>
                <w:szCs w:val="22"/>
              </w:rPr>
            </w:pPr>
            <w:r>
              <w:rPr>
                <w:rFonts w:hint="eastAsia" w:ascii="Times New Roman" w:hAnsi="Times New Roman" w:eastAsia="仿宋_GB2312" w:cs="Times New Roman"/>
                <w:i w:val="0"/>
                <w:color w:val="auto"/>
                <w:kern w:val="0"/>
                <w:sz w:val="22"/>
                <w:szCs w:val="22"/>
                <w:lang w:val="en-US" w:eastAsia="zh-CN" w:bidi="ar-SA"/>
              </w:rPr>
              <w:t>应急照明、疏散指示标志</w:t>
            </w:r>
          </w:p>
        </w:tc>
        <w:tc>
          <w:tcPr>
            <w:tcW w:w="3690"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3A346663">
            <w:pPr>
              <w:widowControl/>
              <w:jc w:val="left"/>
              <w:textAlignment w:val="center"/>
              <w:rPr>
                <w:rFonts w:hint="eastAsia" w:ascii="Times New Roman" w:hAnsi="Times New Roman" w:eastAsia="仿宋_GB2312" w:cs="Times New Roman"/>
                <w:i w:val="0"/>
                <w:color w:val="auto"/>
                <w:sz w:val="22"/>
                <w:szCs w:val="22"/>
              </w:rPr>
            </w:pPr>
            <w:r>
              <w:rPr>
                <w:rFonts w:hint="eastAsia" w:ascii="Times New Roman" w:hAnsi="Times New Roman" w:eastAsia="仿宋_GB2312" w:cs="Times New Roman"/>
                <w:i w:val="0"/>
                <w:color w:val="auto"/>
                <w:kern w:val="0"/>
                <w:sz w:val="22"/>
                <w:szCs w:val="22"/>
                <w:lang w:val="en-US" w:eastAsia="zh-CN" w:bidi="ar-SA"/>
              </w:rPr>
              <w:t>发现一处无法正常工作扣2分</w:t>
            </w:r>
          </w:p>
        </w:tc>
        <w:tc>
          <w:tcPr>
            <w:tcW w:w="1035" w:type="dxa"/>
            <w:vMerge w:val="restart"/>
            <w:tcBorders>
              <w:top w:val="single" w:color="000000" w:sz="4" w:space="0"/>
              <w:left w:val="single" w:color="000000" w:sz="4" w:space="0"/>
              <w:bottom w:val="single" w:color="000000" w:sz="4" w:space="0"/>
              <w:right w:val="single" w:color="000000" w:sz="4" w:space="0"/>
            </w:tcBorders>
            <w:noWrap w:val="0"/>
            <w:vAlign w:val="center"/>
          </w:tcPr>
          <w:p w14:paraId="5284F185">
            <w:pPr>
              <w:widowControl/>
              <w:jc w:val="center"/>
              <w:textAlignment w:val="center"/>
              <w:rPr>
                <w:rFonts w:hint="eastAsia" w:ascii="Times New Roman" w:hAnsi="Times New Roman" w:eastAsia="仿宋_GB2312" w:cs="Times New Roman"/>
                <w:i w:val="0"/>
                <w:color w:val="auto"/>
                <w:sz w:val="22"/>
                <w:szCs w:val="22"/>
              </w:rPr>
            </w:pPr>
            <w:r>
              <w:rPr>
                <w:rFonts w:hint="eastAsia" w:ascii="Times New Roman" w:hAnsi="Times New Roman" w:eastAsia="仿宋_GB2312" w:cs="Times New Roman"/>
                <w:i w:val="0"/>
                <w:color w:val="auto"/>
                <w:kern w:val="0"/>
                <w:sz w:val="22"/>
                <w:szCs w:val="22"/>
                <w:lang w:val="en-US" w:eastAsia="zh-CN" w:bidi="ar-SA"/>
              </w:rPr>
              <w:t>4</w:t>
            </w:r>
          </w:p>
        </w:tc>
        <w:tc>
          <w:tcPr>
            <w:tcW w:w="930" w:type="dxa"/>
            <w:vMerge w:val="restart"/>
            <w:tcBorders>
              <w:top w:val="single" w:color="000000" w:sz="4" w:space="0"/>
              <w:left w:val="single" w:color="000000" w:sz="4" w:space="0"/>
              <w:bottom w:val="single" w:color="000000" w:sz="4" w:space="0"/>
              <w:right w:val="single" w:color="000000" w:sz="4" w:space="0"/>
            </w:tcBorders>
            <w:noWrap w:val="0"/>
            <w:vAlign w:val="top"/>
          </w:tcPr>
          <w:p w14:paraId="7A9A03E7">
            <w:pPr>
              <w:jc w:val="both"/>
              <w:rPr>
                <w:rFonts w:hint="eastAsia" w:ascii="Times New Roman" w:hAnsi="Times New Roman" w:eastAsia="仿宋_GB2312" w:cs="Times New Roman"/>
                <w:i w:val="0"/>
                <w:color w:val="auto"/>
                <w:sz w:val="22"/>
                <w:szCs w:val="22"/>
              </w:rPr>
            </w:pPr>
          </w:p>
        </w:tc>
        <w:tc>
          <w:tcPr>
            <w:tcW w:w="990" w:type="dxa"/>
            <w:vMerge w:val="restart"/>
            <w:tcBorders>
              <w:top w:val="single" w:color="000000" w:sz="4" w:space="0"/>
              <w:left w:val="single" w:color="000000" w:sz="4" w:space="0"/>
              <w:bottom w:val="single" w:color="000000" w:sz="4" w:space="0"/>
              <w:right w:val="single" w:color="000000" w:sz="4" w:space="0"/>
            </w:tcBorders>
            <w:noWrap w:val="0"/>
            <w:vAlign w:val="top"/>
          </w:tcPr>
          <w:p w14:paraId="05395A7E">
            <w:pPr>
              <w:jc w:val="both"/>
              <w:rPr>
                <w:rFonts w:hint="eastAsia" w:ascii="Times New Roman" w:hAnsi="Times New Roman" w:eastAsia="仿宋_GB2312" w:cs="Times New Roman"/>
                <w:i w:val="0"/>
                <w:color w:val="auto"/>
                <w:sz w:val="22"/>
                <w:szCs w:val="22"/>
              </w:rPr>
            </w:pPr>
          </w:p>
        </w:tc>
      </w:tr>
      <w:tr w14:paraId="35D78F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1"/>
          <w:wAfter w:w="15" w:type="dxa"/>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noWrap w:val="0"/>
            <w:vAlign w:val="center"/>
          </w:tcPr>
          <w:p w14:paraId="21A1C8BF">
            <w:pPr>
              <w:jc w:val="center"/>
              <w:rPr>
                <w:rFonts w:hint="eastAsia" w:ascii="Times New Roman" w:hAnsi="Times New Roman" w:eastAsia="仿宋_GB2312" w:cs="Times New Roman"/>
                <w:i w:val="0"/>
                <w:color w:val="auto"/>
                <w:sz w:val="22"/>
                <w:szCs w:val="22"/>
              </w:rPr>
            </w:pPr>
          </w:p>
        </w:tc>
        <w:tc>
          <w:tcPr>
            <w:tcW w:w="1566"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4A39E95">
            <w:pPr>
              <w:jc w:val="left"/>
              <w:rPr>
                <w:rFonts w:hint="eastAsia" w:ascii="Times New Roman" w:hAnsi="Times New Roman" w:eastAsia="仿宋_GB2312" w:cs="Times New Roman"/>
                <w:i w:val="0"/>
                <w:color w:val="auto"/>
                <w:sz w:val="22"/>
                <w:szCs w:val="22"/>
              </w:rPr>
            </w:pPr>
          </w:p>
        </w:tc>
        <w:tc>
          <w:tcPr>
            <w:tcW w:w="3690"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6B605319">
            <w:pPr>
              <w:jc w:val="left"/>
              <w:rPr>
                <w:rFonts w:hint="eastAsia" w:ascii="Times New Roman" w:hAnsi="Times New Roman" w:eastAsia="仿宋_GB2312" w:cs="Times New Roman"/>
                <w:i w:val="0"/>
                <w:color w:val="auto"/>
                <w:sz w:val="22"/>
                <w:szCs w:val="22"/>
              </w:rPr>
            </w:pPr>
          </w:p>
        </w:tc>
        <w:tc>
          <w:tcPr>
            <w:tcW w:w="1035" w:type="dxa"/>
            <w:vMerge w:val="continue"/>
            <w:tcBorders>
              <w:top w:val="single" w:color="000000" w:sz="4" w:space="0"/>
              <w:left w:val="single" w:color="000000" w:sz="4" w:space="0"/>
              <w:bottom w:val="single" w:color="000000" w:sz="4" w:space="0"/>
              <w:right w:val="single" w:color="000000" w:sz="4" w:space="0"/>
            </w:tcBorders>
            <w:noWrap w:val="0"/>
            <w:vAlign w:val="center"/>
          </w:tcPr>
          <w:p w14:paraId="1C06C717">
            <w:pPr>
              <w:jc w:val="center"/>
              <w:rPr>
                <w:rFonts w:hint="eastAsia" w:ascii="Times New Roman" w:hAnsi="Times New Roman" w:eastAsia="仿宋_GB2312" w:cs="Times New Roman"/>
                <w:i w:val="0"/>
                <w:color w:val="auto"/>
                <w:sz w:val="22"/>
                <w:szCs w:val="22"/>
              </w:rPr>
            </w:pPr>
          </w:p>
        </w:tc>
        <w:tc>
          <w:tcPr>
            <w:tcW w:w="930" w:type="dxa"/>
            <w:vMerge w:val="continue"/>
            <w:tcBorders>
              <w:top w:val="single" w:color="000000" w:sz="4" w:space="0"/>
              <w:left w:val="single" w:color="000000" w:sz="4" w:space="0"/>
              <w:bottom w:val="single" w:color="000000" w:sz="4" w:space="0"/>
              <w:right w:val="single" w:color="000000" w:sz="4" w:space="0"/>
            </w:tcBorders>
            <w:noWrap w:val="0"/>
            <w:vAlign w:val="top"/>
          </w:tcPr>
          <w:p w14:paraId="1C0A4897">
            <w:pPr>
              <w:jc w:val="both"/>
              <w:rPr>
                <w:rFonts w:hint="eastAsia" w:ascii="Times New Roman" w:hAnsi="Times New Roman" w:eastAsia="仿宋_GB2312" w:cs="Times New Roman"/>
                <w:i w:val="0"/>
                <w:color w:val="auto"/>
                <w:sz w:val="22"/>
                <w:szCs w:val="22"/>
              </w:rPr>
            </w:pPr>
          </w:p>
        </w:tc>
        <w:tc>
          <w:tcPr>
            <w:tcW w:w="990" w:type="dxa"/>
            <w:vMerge w:val="continue"/>
            <w:tcBorders>
              <w:top w:val="single" w:color="000000" w:sz="4" w:space="0"/>
              <w:left w:val="single" w:color="000000" w:sz="4" w:space="0"/>
              <w:bottom w:val="single" w:color="000000" w:sz="4" w:space="0"/>
              <w:right w:val="single" w:color="000000" w:sz="4" w:space="0"/>
            </w:tcBorders>
            <w:noWrap w:val="0"/>
            <w:vAlign w:val="top"/>
          </w:tcPr>
          <w:p w14:paraId="3DE75A0F">
            <w:pPr>
              <w:jc w:val="both"/>
              <w:rPr>
                <w:rFonts w:hint="eastAsia" w:ascii="Times New Roman" w:hAnsi="Times New Roman" w:eastAsia="仿宋_GB2312" w:cs="Times New Roman"/>
                <w:i w:val="0"/>
                <w:color w:val="auto"/>
                <w:sz w:val="22"/>
                <w:szCs w:val="22"/>
              </w:rPr>
            </w:pPr>
          </w:p>
        </w:tc>
      </w:tr>
      <w:tr w14:paraId="3259F6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1"/>
          <w:wAfter w:w="15" w:type="dxa"/>
          <w:trHeight w:val="480" w:hRule="atLeast"/>
        </w:trPr>
        <w:tc>
          <w:tcPr>
            <w:tcW w:w="720" w:type="dxa"/>
            <w:tcBorders>
              <w:top w:val="single" w:color="000000" w:sz="4" w:space="0"/>
              <w:left w:val="single" w:color="000000" w:sz="4" w:space="0"/>
              <w:bottom w:val="single" w:color="000000" w:sz="4" w:space="0"/>
              <w:right w:val="single" w:color="000000" w:sz="4" w:space="0"/>
            </w:tcBorders>
            <w:noWrap w:val="0"/>
            <w:vAlign w:val="center"/>
          </w:tcPr>
          <w:p w14:paraId="0C26AE49">
            <w:pPr>
              <w:widowControl/>
              <w:jc w:val="center"/>
              <w:textAlignment w:val="center"/>
              <w:rPr>
                <w:rFonts w:hint="eastAsia" w:ascii="Times New Roman" w:hAnsi="Times New Roman" w:eastAsia="仿宋_GB2312" w:cs="Times New Roman"/>
                <w:i w:val="0"/>
                <w:color w:val="auto"/>
                <w:sz w:val="22"/>
                <w:szCs w:val="22"/>
              </w:rPr>
            </w:pPr>
            <w:r>
              <w:rPr>
                <w:rFonts w:hint="eastAsia" w:ascii="Times New Roman" w:hAnsi="Times New Roman" w:eastAsia="仿宋_GB2312" w:cs="Times New Roman"/>
                <w:i w:val="0"/>
                <w:color w:val="auto"/>
                <w:kern w:val="0"/>
                <w:sz w:val="22"/>
                <w:szCs w:val="22"/>
                <w:lang w:val="en-US" w:eastAsia="zh-CN" w:bidi="ar-SA"/>
              </w:rPr>
              <w:t>10</w:t>
            </w:r>
          </w:p>
        </w:tc>
        <w:tc>
          <w:tcPr>
            <w:tcW w:w="1566" w:type="dxa"/>
            <w:gridSpan w:val="2"/>
            <w:tcBorders>
              <w:top w:val="single" w:color="000000" w:sz="4" w:space="0"/>
              <w:left w:val="single" w:color="000000" w:sz="4" w:space="0"/>
              <w:bottom w:val="single" w:color="000000" w:sz="4" w:space="0"/>
              <w:right w:val="single" w:color="000000" w:sz="4" w:space="0"/>
            </w:tcBorders>
            <w:noWrap w:val="0"/>
            <w:vAlign w:val="center"/>
          </w:tcPr>
          <w:p w14:paraId="4EEF61B0">
            <w:pPr>
              <w:widowControl/>
              <w:jc w:val="center"/>
              <w:textAlignment w:val="center"/>
              <w:rPr>
                <w:rFonts w:hint="eastAsia" w:ascii="Times New Roman" w:hAnsi="Times New Roman" w:eastAsia="仿宋_GB2312" w:cs="Times New Roman"/>
                <w:i w:val="0"/>
                <w:color w:val="auto"/>
                <w:sz w:val="22"/>
                <w:szCs w:val="22"/>
              </w:rPr>
            </w:pPr>
            <w:r>
              <w:rPr>
                <w:rFonts w:hint="eastAsia" w:ascii="Times New Roman" w:hAnsi="Times New Roman" w:eastAsia="仿宋_GB2312" w:cs="Times New Roman"/>
                <w:i w:val="0"/>
                <w:color w:val="auto"/>
                <w:kern w:val="0"/>
                <w:sz w:val="22"/>
                <w:szCs w:val="22"/>
                <w:lang w:val="en-US" w:eastAsia="zh-CN" w:bidi="ar-SA"/>
              </w:rPr>
              <w:t>灭火器，气体灭火系统</w:t>
            </w:r>
          </w:p>
        </w:tc>
        <w:tc>
          <w:tcPr>
            <w:tcW w:w="3690" w:type="dxa"/>
            <w:gridSpan w:val="2"/>
            <w:tcBorders>
              <w:top w:val="single" w:color="000000" w:sz="4" w:space="0"/>
              <w:left w:val="single" w:color="000000" w:sz="4" w:space="0"/>
              <w:bottom w:val="single" w:color="000000" w:sz="4" w:space="0"/>
              <w:right w:val="single" w:color="000000" w:sz="4" w:space="0"/>
            </w:tcBorders>
            <w:noWrap w:val="0"/>
            <w:vAlign w:val="center"/>
          </w:tcPr>
          <w:p w14:paraId="79FC09CE">
            <w:pPr>
              <w:widowControl/>
              <w:jc w:val="left"/>
              <w:textAlignment w:val="center"/>
              <w:rPr>
                <w:rFonts w:hint="eastAsia" w:ascii="Times New Roman" w:hAnsi="Times New Roman" w:eastAsia="仿宋_GB2312" w:cs="Times New Roman"/>
                <w:i w:val="0"/>
                <w:color w:val="auto"/>
                <w:sz w:val="22"/>
                <w:szCs w:val="22"/>
              </w:rPr>
            </w:pPr>
            <w:r>
              <w:rPr>
                <w:rFonts w:hint="eastAsia" w:ascii="Times New Roman" w:hAnsi="Times New Roman" w:eastAsia="仿宋_GB2312" w:cs="Times New Roman"/>
                <w:i w:val="0"/>
                <w:color w:val="auto"/>
                <w:kern w:val="0"/>
                <w:sz w:val="22"/>
                <w:szCs w:val="22"/>
                <w:lang w:val="en-US" w:eastAsia="zh-CN" w:bidi="ar-SA"/>
              </w:rPr>
              <w:t>发现一个过期灭火器扣2分；气体灭火系统未正常巡查、维护、记录扣6分</w:t>
            </w:r>
          </w:p>
        </w:tc>
        <w:tc>
          <w:tcPr>
            <w:tcW w:w="1035" w:type="dxa"/>
            <w:tcBorders>
              <w:top w:val="single" w:color="000000" w:sz="4" w:space="0"/>
              <w:left w:val="single" w:color="000000" w:sz="4" w:space="0"/>
              <w:bottom w:val="single" w:color="000000" w:sz="4" w:space="0"/>
              <w:right w:val="single" w:color="000000" w:sz="4" w:space="0"/>
            </w:tcBorders>
            <w:noWrap w:val="0"/>
            <w:vAlign w:val="center"/>
          </w:tcPr>
          <w:p w14:paraId="43A378E4">
            <w:pPr>
              <w:widowControl/>
              <w:jc w:val="center"/>
              <w:textAlignment w:val="center"/>
              <w:rPr>
                <w:rFonts w:hint="eastAsia" w:ascii="Times New Roman" w:hAnsi="Times New Roman" w:eastAsia="仿宋_GB2312" w:cs="Times New Roman"/>
                <w:i w:val="0"/>
                <w:color w:val="auto"/>
                <w:sz w:val="22"/>
                <w:szCs w:val="22"/>
              </w:rPr>
            </w:pPr>
            <w:r>
              <w:rPr>
                <w:rFonts w:hint="eastAsia" w:ascii="Times New Roman" w:hAnsi="Times New Roman" w:eastAsia="仿宋_GB2312" w:cs="Times New Roman"/>
                <w:i w:val="0"/>
                <w:color w:val="auto"/>
                <w:kern w:val="0"/>
                <w:sz w:val="22"/>
                <w:szCs w:val="22"/>
                <w:lang w:val="en-US" w:eastAsia="zh-CN" w:bidi="ar-SA"/>
              </w:rPr>
              <w:t>10</w:t>
            </w:r>
          </w:p>
        </w:tc>
        <w:tc>
          <w:tcPr>
            <w:tcW w:w="930" w:type="dxa"/>
            <w:tcBorders>
              <w:top w:val="single" w:color="000000" w:sz="4" w:space="0"/>
              <w:left w:val="single" w:color="000000" w:sz="4" w:space="0"/>
              <w:bottom w:val="single" w:color="000000" w:sz="4" w:space="0"/>
              <w:right w:val="single" w:color="000000" w:sz="4" w:space="0"/>
            </w:tcBorders>
            <w:noWrap w:val="0"/>
            <w:vAlign w:val="top"/>
          </w:tcPr>
          <w:p w14:paraId="0D225ADF">
            <w:pPr>
              <w:jc w:val="both"/>
              <w:rPr>
                <w:rFonts w:hint="eastAsia" w:ascii="Times New Roman" w:hAnsi="Times New Roman" w:eastAsia="仿宋_GB2312" w:cs="Times New Roman"/>
                <w:i w:val="0"/>
                <w:color w:val="auto"/>
                <w:sz w:val="22"/>
                <w:szCs w:val="22"/>
              </w:rPr>
            </w:pPr>
          </w:p>
        </w:tc>
        <w:tc>
          <w:tcPr>
            <w:tcW w:w="990" w:type="dxa"/>
            <w:tcBorders>
              <w:top w:val="single" w:color="000000" w:sz="4" w:space="0"/>
              <w:left w:val="single" w:color="000000" w:sz="4" w:space="0"/>
              <w:bottom w:val="single" w:color="000000" w:sz="4" w:space="0"/>
              <w:right w:val="single" w:color="000000" w:sz="4" w:space="0"/>
            </w:tcBorders>
            <w:noWrap w:val="0"/>
            <w:vAlign w:val="top"/>
          </w:tcPr>
          <w:p w14:paraId="4BFC8647">
            <w:pPr>
              <w:jc w:val="both"/>
              <w:rPr>
                <w:rFonts w:hint="eastAsia" w:ascii="Times New Roman" w:hAnsi="Times New Roman" w:eastAsia="仿宋_GB2312" w:cs="Times New Roman"/>
                <w:i w:val="0"/>
                <w:color w:val="auto"/>
                <w:sz w:val="22"/>
                <w:szCs w:val="22"/>
              </w:rPr>
            </w:pPr>
          </w:p>
        </w:tc>
      </w:tr>
      <w:tr w14:paraId="7DDC02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1"/>
          <w:wAfter w:w="15" w:type="dxa"/>
          <w:trHeight w:val="1155" w:hRule="atLeast"/>
        </w:trPr>
        <w:tc>
          <w:tcPr>
            <w:tcW w:w="720" w:type="dxa"/>
            <w:tcBorders>
              <w:top w:val="single" w:color="000000" w:sz="4" w:space="0"/>
              <w:left w:val="single" w:color="000000" w:sz="4" w:space="0"/>
              <w:bottom w:val="single" w:color="000000" w:sz="4" w:space="0"/>
              <w:right w:val="single" w:color="000000" w:sz="4" w:space="0"/>
            </w:tcBorders>
            <w:noWrap w:val="0"/>
            <w:vAlign w:val="center"/>
          </w:tcPr>
          <w:p w14:paraId="373B5BFD">
            <w:pPr>
              <w:widowControl/>
              <w:jc w:val="center"/>
              <w:textAlignment w:val="center"/>
              <w:rPr>
                <w:rFonts w:hint="eastAsia" w:ascii="Times New Roman" w:hAnsi="Times New Roman" w:eastAsia="仿宋_GB2312" w:cs="Times New Roman"/>
                <w:i w:val="0"/>
                <w:color w:val="auto"/>
                <w:sz w:val="22"/>
                <w:szCs w:val="22"/>
              </w:rPr>
            </w:pPr>
            <w:r>
              <w:rPr>
                <w:rFonts w:hint="eastAsia" w:ascii="Times New Roman" w:hAnsi="Times New Roman" w:eastAsia="仿宋_GB2312" w:cs="Times New Roman"/>
                <w:i w:val="0"/>
                <w:color w:val="auto"/>
                <w:kern w:val="0"/>
                <w:sz w:val="22"/>
                <w:szCs w:val="22"/>
                <w:lang w:val="en-US" w:eastAsia="zh-CN" w:bidi="ar-SA"/>
              </w:rPr>
              <w:t>11</w:t>
            </w:r>
          </w:p>
        </w:tc>
        <w:tc>
          <w:tcPr>
            <w:tcW w:w="1566" w:type="dxa"/>
            <w:gridSpan w:val="2"/>
            <w:tcBorders>
              <w:top w:val="single" w:color="000000" w:sz="4" w:space="0"/>
              <w:left w:val="single" w:color="000000" w:sz="4" w:space="0"/>
              <w:bottom w:val="single" w:color="000000" w:sz="4" w:space="0"/>
              <w:right w:val="single" w:color="000000" w:sz="4" w:space="0"/>
            </w:tcBorders>
            <w:noWrap w:val="0"/>
            <w:vAlign w:val="center"/>
          </w:tcPr>
          <w:p w14:paraId="0DC5F731">
            <w:pPr>
              <w:widowControl/>
              <w:jc w:val="center"/>
              <w:textAlignment w:val="center"/>
              <w:rPr>
                <w:rFonts w:hint="eastAsia" w:ascii="Times New Roman" w:hAnsi="Times New Roman" w:eastAsia="仿宋_GB2312" w:cs="Times New Roman"/>
                <w:i w:val="0"/>
                <w:color w:val="auto"/>
                <w:sz w:val="22"/>
                <w:szCs w:val="22"/>
              </w:rPr>
            </w:pPr>
            <w:r>
              <w:rPr>
                <w:rFonts w:hint="eastAsia" w:ascii="Times New Roman" w:hAnsi="Times New Roman" w:eastAsia="仿宋_GB2312" w:cs="Times New Roman"/>
                <w:i w:val="0"/>
                <w:color w:val="auto"/>
                <w:kern w:val="0"/>
                <w:sz w:val="22"/>
                <w:szCs w:val="22"/>
                <w:lang w:val="en-US" w:eastAsia="zh-CN" w:bidi="ar-SA"/>
              </w:rPr>
              <w:t>消火栓维保及测试</w:t>
            </w:r>
          </w:p>
        </w:tc>
        <w:tc>
          <w:tcPr>
            <w:tcW w:w="3690" w:type="dxa"/>
            <w:gridSpan w:val="2"/>
            <w:tcBorders>
              <w:top w:val="single" w:color="000000" w:sz="4" w:space="0"/>
              <w:left w:val="single" w:color="000000" w:sz="4" w:space="0"/>
              <w:bottom w:val="single" w:color="000000" w:sz="4" w:space="0"/>
              <w:right w:val="single" w:color="000000" w:sz="4" w:space="0"/>
            </w:tcBorders>
            <w:noWrap w:val="0"/>
            <w:vAlign w:val="center"/>
          </w:tcPr>
          <w:p w14:paraId="3258D280">
            <w:pPr>
              <w:widowControl/>
              <w:jc w:val="left"/>
              <w:textAlignment w:val="center"/>
              <w:rPr>
                <w:rFonts w:hint="eastAsia" w:ascii="Times New Roman" w:hAnsi="Times New Roman" w:eastAsia="仿宋_GB2312" w:cs="Times New Roman"/>
                <w:i w:val="0"/>
                <w:color w:val="auto"/>
                <w:sz w:val="22"/>
                <w:szCs w:val="22"/>
              </w:rPr>
            </w:pPr>
            <w:r>
              <w:rPr>
                <w:rFonts w:hint="eastAsia" w:ascii="Times New Roman" w:hAnsi="Times New Roman" w:eastAsia="仿宋_GB2312" w:cs="Times New Roman"/>
                <w:i w:val="0"/>
                <w:color w:val="auto"/>
                <w:kern w:val="0"/>
                <w:sz w:val="22"/>
                <w:szCs w:val="22"/>
                <w:lang w:val="en-US" w:eastAsia="zh-CN" w:bidi="ar-SA"/>
              </w:rPr>
              <w:t>消火栓无法正常工作（损坏、丢失等）一处扣3分，发现一处无巡查（或错误）记录扣2分，消火栓门破损、无法正常开关等一处扣1分</w:t>
            </w:r>
          </w:p>
        </w:tc>
        <w:tc>
          <w:tcPr>
            <w:tcW w:w="1035" w:type="dxa"/>
            <w:tcBorders>
              <w:top w:val="single" w:color="000000" w:sz="4" w:space="0"/>
              <w:left w:val="single" w:color="000000" w:sz="4" w:space="0"/>
              <w:bottom w:val="single" w:color="000000" w:sz="4" w:space="0"/>
              <w:right w:val="single" w:color="000000" w:sz="4" w:space="0"/>
            </w:tcBorders>
            <w:noWrap w:val="0"/>
            <w:vAlign w:val="center"/>
          </w:tcPr>
          <w:p w14:paraId="5BFC2CD8">
            <w:pPr>
              <w:widowControl/>
              <w:jc w:val="center"/>
              <w:textAlignment w:val="center"/>
              <w:rPr>
                <w:rFonts w:hint="eastAsia" w:ascii="Times New Roman" w:hAnsi="Times New Roman" w:eastAsia="仿宋_GB2312" w:cs="Times New Roman"/>
                <w:i w:val="0"/>
                <w:color w:val="auto"/>
                <w:sz w:val="22"/>
                <w:szCs w:val="22"/>
                <w:lang w:val="en-US" w:eastAsia="zh-CN"/>
              </w:rPr>
            </w:pPr>
            <w:r>
              <w:rPr>
                <w:rFonts w:hint="eastAsia" w:ascii="Times New Roman" w:hAnsi="Times New Roman" w:eastAsia="仿宋_GB2312" w:cs="Times New Roman"/>
                <w:i w:val="0"/>
                <w:color w:val="auto"/>
                <w:sz w:val="22"/>
                <w:szCs w:val="22"/>
                <w:lang w:val="en-US" w:eastAsia="zh-CN"/>
              </w:rPr>
              <w:t>8</w:t>
            </w:r>
          </w:p>
        </w:tc>
        <w:tc>
          <w:tcPr>
            <w:tcW w:w="930" w:type="dxa"/>
            <w:tcBorders>
              <w:top w:val="single" w:color="000000" w:sz="4" w:space="0"/>
              <w:left w:val="single" w:color="000000" w:sz="4" w:space="0"/>
              <w:bottom w:val="single" w:color="000000" w:sz="4" w:space="0"/>
              <w:right w:val="single" w:color="000000" w:sz="4" w:space="0"/>
            </w:tcBorders>
            <w:noWrap w:val="0"/>
            <w:vAlign w:val="top"/>
          </w:tcPr>
          <w:p w14:paraId="754DC68B">
            <w:pPr>
              <w:jc w:val="both"/>
              <w:rPr>
                <w:rFonts w:hint="eastAsia" w:ascii="Times New Roman" w:hAnsi="Times New Roman" w:eastAsia="仿宋_GB2312" w:cs="Times New Roman"/>
                <w:i w:val="0"/>
                <w:color w:val="auto"/>
                <w:sz w:val="22"/>
                <w:szCs w:val="22"/>
              </w:rPr>
            </w:pPr>
          </w:p>
        </w:tc>
        <w:tc>
          <w:tcPr>
            <w:tcW w:w="990" w:type="dxa"/>
            <w:tcBorders>
              <w:top w:val="single" w:color="000000" w:sz="4" w:space="0"/>
              <w:left w:val="single" w:color="000000" w:sz="4" w:space="0"/>
              <w:bottom w:val="single" w:color="000000" w:sz="4" w:space="0"/>
              <w:right w:val="single" w:color="000000" w:sz="4" w:space="0"/>
            </w:tcBorders>
            <w:noWrap w:val="0"/>
            <w:vAlign w:val="top"/>
          </w:tcPr>
          <w:p w14:paraId="61981983">
            <w:pPr>
              <w:jc w:val="both"/>
              <w:rPr>
                <w:rFonts w:hint="eastAsia" w:ascii="Times New Roman" w:hAnsi="Times New Roman" w:eastAsia="仿宋_GB2312" w:cs="Times New Roman"/>
                <w:i w:val="0"/>
                <w:color w:val="auto"/>
                <w:sz w:val="22"/>
                <w:szCs w:val="22"/>
              </w:rPr>
            </w:pPr>
          </w:p>
        </w:tc>
      </w:tr>
      <w:tr w14:paraId="4FFF66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1"/>
          <w:wAfter w:w="15" w:type="dxa"/>
          <w:trHeight w:val="690" w:hRule="atLeast"/>
        </w:trPr>
        <w:tc>
          <w:tcPr>
            <w:tcW w:w="5976" w:type="dxa"/>
            <w:gridSpan w:val="5"/>
            <w:tcBorders>
              <w:top w:val="single" w:color="000000" w:sz="4" w:space="0"/>
              <w:left w:val="single" w:color="000000" w:sz="4" w:space="0"/>
              <w:bottom w:val="single" w:color="000000" w:sz="4" w:space="0"/>
              <w:right w:val="single" w:color="000000" w:sz="4" w:space="0"/>
            </w:tcBorders>
            <w:noWrap w:val="0"/>
            <w:vAlign w:val="center"/>
          </w:tcPr>
          <w:p w14:paraId="05C3BE03">
            <w:pPr>
              <w:widowControl/>
              <w:jc w:val="left"/>
              <w:textAlignment w:val="center"/>
              <w:rPr>
                <w:rFonts w:hint="eastAsia" w:ascii="Times New Roman" w:hAnsi="Times New Roman" w:eastAsia="仿宋_GB2312" w:cs="Times New Roman"/>
                <w:i w:val="0"/>
                <w:color w:val="auto"/>
                <w:sz w:val="22"/>
                <w:szCs w:val="22"/>
              </w:rPr>
            </w:pPr>
            <w:r>
              <w:rPr>
                <w:rFonts w:hint="eastAsia" w:ascii="Times New Roman" w:hAnsi="Times New Roman" w:eastAsia="仿宋_GB2312" w:cs="Times New Roman"/>
                <w:i w:val="0"/>
                <w:color w:val="auto"/>
                <w:kern w:val="0"/>
                <w:sz w:val="22"/>
                <w:szCs w:val="22"/>
                <w:lang w:val="en-US" w:eastAsia="zh-CN" w:bidi="ar-SA"/>
              </w:rPr>
              <w:t>四、事件处置</w:t>
            </w:r>
          </w:p>
        </w:tc>
        <w:tc>
          <w:tcPr>
            <w:tcW w:w="1035" w:type="dxa"/>
            <w:tcBorders>
              <w:top w:val="single" w:color="000000" w:sz="4" w:space="0"/>
              <w:left w:val="single" w:color="000000" w:sz="4" w:space="0"/>
              <w:bottom w:val="single" w:color="000000" w:sz="4" w:space="0"/>
              <w:right w:val="single" w:color="000000" w:sz="4" w:space="0"/>
            </w:tcBorders>
            <w:noWrap w:val="0"/>
            <w:vAlign w:val="center"/>
          </w:tcPr>
          <w:p w14:paraId="7DC88B5B">
            <w:pPr>
              <w:widowControl/>
              <w:jc w:val="center"/>
              <w:textAlignment w:val="center"/>
              <w:rPr>
                <w:rFonts w:hint="eastAsia" w:ascii="Times New Roman" w:hAnsi="Times New Roman" w:eastAsia="仿宋_GB2312" w:cs="Times New Roman"/>
                <w:i w:val="0"/>
                <w:color w:val="auto"/>
                <w:sz w:val="22"/>
                <w:szCs w:val="22"/>
              </w:rPr>
            </w:pPr>
            <w:r>
              <w:rPr>
                <w:rFonts w:hint="eastAsia" w:ascii="Times New Roman" w:hAnsi="Times New Roman" w:eastAsia="仿宋_GB2312" w:cs="Times New Roman"/>
                <w:i w:val="0"/>
                <w:color w:val="auto"/>
                <w:kern w:val="0"/>
                <w:sz w:val="22"/>
                <w:szCs w:val="22"/>
                <w:lang w:val="en-US" w:eastAsia="zh-CN" w:bidi="ar-SA"/>
              </w:rPr>
              <w:t>15</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14:paraId="2C3E31DA">
            <w:pPr>
              <w:jc w:val="left"/>
              <w:rPr>
                <w:rFonts w:hint="eastAsia" w:ascii="Times New Roman" w:hAnsi="Times New Roman" w:eastAsia="仿宋_GB2312" w:cs="Times New Roman"/>
                <w:i w:val="0"/>
                <w:color w:val="auto"/>
                <w:sz w:val="22"/>
                <w:szCs w:val="22"/>
              </w:rPr>
            </w:pPr>
          </w:p>
        </w:tc>
        <w:tc>
          <w:tcPr>
            <w:tcW w:w="990" w:type="dxa"/>
            <w:tcBorders>
              <w:top w:val="single" w:color="000000" w:sz="4" w:space="0"/>
              <w:left w:val="single" w:color="000000" w:sz="4" w:space="0"/>
              <w:bottom w:val="single" w:color="000000" w:sz="4" w:space="0"/>
              <w:right w:val="single" w:color="000000" w:sz="4" w:space="0"/>
            </w:tcBorders>
            <w:noWrap w:val="0"/>
            <w:vAlign w:val="center"/>
          </w:tcPr>
          <w:p w14:paraId="113FB017">
            <w:pPr>
              <w:jc w:val="center"/>
              <w:rPr>
                <w:rFonts w:hint="eastAsia" w:ascii="Times New Roman" w:hAnsi="Times New Roman" w:eastAsia="仿宋_GB2312" w:cs="Times New Roman"/>
                <w:i w:val="0"/>
                <w:color w:val="auto"/>
                <w:sz w:val="22"/>
                <w:szCs w:val="22"/>
              </w:rPr>
            </w:pPr>
          </w:p>
        </w:tc>
      </w:tr>
      <w:tr w14:paraId="109987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1"/>
          <w:wAfter w:w="15" w:type="dxa"/>
          <w:trHeight w:val="585" w:hRule="atLeast"/>
        </w:trPr>
        <w:tc>
          <w:tcPr>
            <w:tcW w:w="720" w:type="dxa"/>
            <w:tcBorders>
              <w:top w:val="single" w:color="000000" w:sz="4" w:space="0"/>
              <w:left w:val="single" w:color="000000" w:sz="4" w:space="0"/>
              <w:bottom w:val="single" w:color="000000" w:sz="4" w:space="0"/>
              <w:right w:val="single" w:color="000000" w:sz="4" w:space="0"/>
            </w:tcBorders>
            <w:noWrap w:val="0"/>
            <w:vAlign w:val="center"/>
          </w:tcPr>
          <w:p w14:paraId="79AB112D">
            <w:pPr>
              <w:widowControl/>
              <w:jc w:val="center"/>
              <w:textAlignment w:val="center"/>
              <w:rPr>
                <w:rFonts w:hint="eastAsia" w:ascii="Times New Roman" w:hAnsi="Times New Roman" w:eastAsia="仿宋_GB2312" w:cs="Times New Roman"/>
                <w:i w:val="0"/>
                <w:color w:val="auto"/>
                <w:sz w:val="22"/>
                <w:szCs w:val="22"/>
              </w:rPr>
            </w:pPr>
            <w:r>
              <w:rPr>
                <w:rFonts w:hint="eastAsia" w:ascii="Times New Roman" w:hAnsi="Times New Roman" w:eastAsia="仿宋_GB2312" w:cs="Times New Roman"/>
                <w:i w:val="0"/>
                <w:color w:val="auto"/>
                <w:kern w:val="0"/>
                <w:sz w:val="22"/>
                <w:szCs w:val="22"/>
                <w:lang w:val="en-US" w:eastAsia="zh-CN" w:bidi="ar-SA"/>
              </w:rPr>
              <w:t>1</w:t>
            </w:r>
          </w:p>
        </w:tc>
        <w:tc>
          <w:tcPr>
            <w:tcW w:w="1581" w:type="dxa"/>
            <w:gridSpan w:val="3"/>
            <w:tcBorders>
              <w:top w:val="single" w:color="000000" w:sz="4" w:space="0"/>
              <w:left w:val="single" w:color="000000" w:sz="4" w:space="0"/>
              <w:bottom w:val="single" w:color="000000" w:sz="4" w:space="0"/>
              <w:right w:val="single" w:color="000000" w:sz="4" w:space="0"/>
            </w:tcBorders>
            <w:noWrap w:val="0"/>
            <w:vAlign w:val="center"/>
          </w:tcPr>
          <w:p w14:paraId="3169AD86">
            <w:pPr>
              <w:widowControl/>
              <w:jc w:val="center"/>
              <w:textAlignment w:val="center"/>
              <w:rPr>
                <w:rFonts w:hint="eastAsia" w:ascii="Times New Roman" w:hAnsi="Times New Roman" w:eastAsia="仿宋_GB2312" w:cs="Times New Roman"/>
                <w:i w:val="0"/>
                <w:color w:val="auto"/>
                <w:sz w:val="22"/>
                <w:szCs w:val="22"/>
              </w:rPr>
            </w:pPr>
            <w:r>
              <w:rPr>
                <w:rFonts w:hint="eastAsia" w:ascii="Times New Roman" w:hAnsi="Times New Roman" w:eastAsia="仿宋_GB2312" w:cs="Times New Roman"/>
                <w:i w:val="0"/>
                <w:color w:val="auto"/>
                <w:kern w:val="0"/>
                <w:sz w:val="22"/>
                <w:szCs w:val="22"/>
                <w:lang w:val="en-US" w:eastAsia="zh-CN" w:bidi="ar-SA"/>
              </w:rPr>
              <w:t>通讯</w:t>
            </w:r>
          </w:p>
        </w:tc>
        <w:tc>
          <w:tcPr>
            <w:tcW w:w="3675" w:type="dxa"/>
            <w:tcBorders>
              <w:top w:val="single" w:color="000000" w:sz="4" w:space="0"/>
              <w:left w:val="single" w:color="000000" w:sz="4" w:space="0"/>
              <w:bottom w:val="single" w:color="000000" w:sz="4" w:space="0"/>
              <w:right w:val="single" w:color="000000" w:sz="4" w:space="0"/>
            </w:tcBorders>
            <w:noWrap w:val="0"/>
            <w:vAlign w:val="center"/>
          </w:tcPr>
          <w:p w14:paraId="7362861E">
            <w:pPr>
              <w:widowControl/>
              <w:jc w:val="left"/>
              <w:textAlignment w:val="center"/>
              <w:rPr>
                <w:rFonts w:hint="eastAsia" w:ascii="Times New Roman" w:hAnsi="Times New Roman" w:eastAsia="仿宋_GB2312" w:cs="Times New Roman"/>
                <w:i w:val="0"/>
                <w:color w:val="auto"/>
                <w:sz w:val="22"/>
                <w:szCs w:val="22"/>
              </w:rPr>
            </w:pPr>
            <w:r>
              <w:rPr>
                <w:rFonts w:hint="eastAsia" w:ascii="Times New Roman" w:hAnsi="Times New Roman" w:eastAsia="仿宋_GB2312" w:cs="Times New Roman"/>
                <w:i w:val="0"/>
                <w:color w:val="auto"/>
                <w:kern w:val="0"/>
                <w:sz w:val="22"/>
                <w:szCs w:val="22"/>
                <w:lang w:val="en-US" w:eastAsia="zh-CN" w:bidi="ar-SA"/>
              </w:rPr>
              <w:t>消防维保单位电话必须保证24小时畅通。否则扣3分</w:t>
            </w:r>
          </w:p>
        </w:tc>
        <w:tc>
          <w:tcPr>
            <w:tcW w:w="1035" w:type="dxa"/>
            <w:tcBorders>
              <w:top w:val="single" w:color="000000" w:sz="4" w:space="0"/>
              <w:left w:val="single" w:color="000000" w:sz="4" w:space="0"/>
              <w:bottom w:val="single" w:color="000000" w:sz="4" w:space="0"/>
              <w:right w:val="single" w:color="000000" w:sz="4" w:space="0"/>
            </w:tcBorders>
            <w:noWrap w:val="0"/>
            <w:vAlign w:val="center"/>
          </w:tcPr>
          <w:p w14:paraId="3ABC6C76">
            <w:pPr>
              <w:widowControl/>
              <w:jc w:val="center"/>
              <w:textAlignment w:val="center"/>
              <w:rPr>
                <w:rFonts w:hint="eastAsia" w:ascii="Times New Roman" w:hAnsi="Times New Roman" w:eastAsia="仿宋_GB2312" w:cs="Times New Roman"/>
                <w:i w:val="0"/>
                <w:color w:val="auto"/>
                <w:sz w:val="22"/>
                <w:szCs w:val="22"/>
              </w:rPr>
            </w:pPr>
            <w:r>
              <w:rPr>
                <w:rFonts w:hint="eastAsia" w:ascii="Times New Roman" w:hAnsi="Times New Roman" w:eastAsia="仿宋_GB2312" w:cs="Times New Roman"/>
                <w:i w:val="0"/>
                <w:color w:val="auto"/>
                <w:kern w:val="0"/>
                <w:sz w:val="22"/>
                <w:szCs w:val="22"/>
                <w:lang w:val="en-US" w:eastAsia="zh-CN" w:bidi="ar-SA"/>
              </w:rPr>
              <w:t>3</w:t>
            </w:r>
          </w:p>
        </w:tc>
        <w:tc>
          <w:tcPr>
            <w:tcW w:w="930" w:type="dxa"/>
            <w:tcBorders>
              <w:top w:val="single" w:color="000000" w:sz="4" w:space="0"/>
              <w:left w:val="single" w:color="000000" w:sz="4" w:space="0"/>
              <w:bottom w:val="single" w:color="000000" w:sz="4" w:space="0"/>
              <w:right w:val="single" w:color="000000" w:sz="4" w:space="0"/>
            </w:tcBorders>
            <w:noWrap w:val="0"/>
            <w:vAlign w:val="top"/>
          </w:tcPr>
          <w:p w14:paraId="69509F3A">
            <w:pPr>
              <w:jc w:val="both"/>
              <w:rPr>
                <w:rFonts w:hint="eastAsia" w:ascii="Times New Roman" w:hAnsi="Times New Roman" w:eastAsia="仿宋_GB2312" w:cs="Times New Roman"/>
                <w:i w:val="0"/>
                <w:color w:val="auto"/>
                <w:sz w:val="22"/>
                <w:szCs w:val="22"/>
              </w:rPr>
            </w:pPr>
          </w:p>
        </w:tc>
        <w:tc>
          <w:tcPr>
            <w:tcW w:w="990" w:type="dxa"/>
            <w:tcBorders>
              <w:top w:val="single" w:color="000000" w:sz="4" w:space="0"/>
              <w:left w:val="single" w:color="000000" w:sz="4" w:space="0"/>
              <w:bottom w:val="single" w:color="000000" w:sz="4" w:space="0"/>
              <w:right w:val="single" w:color="000000" w:sz="4" w:space="0"/>
            </w:tcBorders>
            <w:noWrap w:val="0"/>
            <w:vAlign w:val="top"/>
          </w:tcPr>
          <w:p w14:paraId="49676063">
            <w:pPr>
              <w:jc w:val="both"/>
              <w:rPr>
                <w:rFonts w:hint="eastAsia" w:ascii="Times New Roman" w:hAnsi="Times New Roman" w:eastAsia="仿宋_GB2312" w:cs="Times New Roman"/>
                <w:i w:val="0"/>
                <w:color w:val="auto"/>
                <w:sz w:val="22"/>
                <w:szCs w:val="22"/>
              </w:rPr>
            </w:pPr>
          </w:p>
        </w:tc>
      </w:tr>
      <w:tr w14:paraId="3873A5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1"/>
          <w:wAfter w:w="15" w:type="dxa"/>
          <w:trHeight w:val="585" w:hRule="atLeast"/>
        </w:trPr>
        <w:tc>
          <w:tcPr>
            <w:tcW w:w="720" w:type="dxa"/>
            <w:vMerge w:val="restart"/>
            <w:tcBorders>
              <w:top w:val="single" w:color="000000" w:sz="4" w:space="0"/>
              <w:left w:val="single" w:color="000000" w:sz="4" w:space="0"/>
              <w:bottom w:val="single" w:color="000000" w:sz="4" w:space="0"/>
              <w:right w:val="single" w:color="000000" w:sz="4" w:space="0"/>
            </w:tcBorders>
            <w:noWrap w:val="0"/>
            <w:vAlign w:val="center"/>
          </w:tcPr>
          <w:p w14:paraId="08413127">
            <w:pPr>
              <w:widowControl/>
              <w:jc w:val="center"/>
              <w:textAlignment w:val="center"/>
              <w:rPr>
                <w:rFonts w:hint="eastAsia" w:ascii="Times New Roman" w:hAnsi="Times New Roman" w:eastAsia="仿宋_GB2312" w:cs="Times New Roman"/>
                <w:i w:val="0"/>
                <w:color w:val="auto"/>
                <w:sz w:val="22"/>
                <w:szCs w:val="22"/>
              </w:rPr>
            </w:pPr>
            <w:r>
              <w:rPr>
                <w:rFonts w:hint="eastAsia" w:ascii="Times New Roman" w:hAnsi="Times New Roman" w:eastAsia="仿宋_GB2312" w:cs="Times New Roman"/>
                <w:i w:val="0"/>
                <w:color w:val="auto"/>
                <w:kern w:val="0"/>
                <w:sz w:val="22"/>
                <w:szCs w:val="22"/>
                <w:lang w:val="en-US" w:eastAsia="zh-CN" w:bidi="ar-SA"/>
              </w:rPr>
              <w:t>2</w:t>
            </w:r>
          </w:p>
        </w:tc>
        <w:tc>
          <w:tcPr>
            <w:tcW w:w="1581" w:type="dxa"/>
            <w:gridSpan w:val="3"/>
            <w:vMerge w:val="restart"/>
            <w:tcBorders>
              <w:top w:val="single" w:color="000000" w:sz="4" w:space="0"/>
              <w:left w:val="single" w:color="000000" w:sz="4" w:space="0"/>
              <w:bottom w:val="single" w:color="000000" w:sz="4" w:space="0"/>
              <w:right w:val="single" w:color="000000" w:sz="4" w:space="0"/>
            </w:tcBorders>
            <w:noWrap w:val="0"/>
            <w:vAlign w:val="center"/>
          </w:tcPr>
          <w:p w14:paraId="2502722D">
            <w:pPr>
              <w:widowControl/>
              <w:jc w:val="center"/>
              <w:textAlignment w:val="center"/>
              <w:rPr>
                <w:rFonts w:hint="eastAsia" w:ascii="Times New Roman" w:hAnsi="Times New Roman" w:eastAsia="仿宋_GB2312" w:cs="Times New Roman"/>
                <w:i w:val="0"/>
                <w:color w:val="auto"/>
                <w:sz w:val="22"/>
                <w:szCs w:val="22"/>
              </w:rPr>
            </w:pPr>
            <w:r>
              <w:rPr>
                <w:rFonts w:hint="eastAsia" w:ascii="Times New Roman" w:hAnsi="Times New Roman" w:eastAsia="仿宋_GB2312" w:cs="Times New Roman"/>
                <w:i w:val="0"/>
                <w:color w:val="auto"/>
                <w:kern w:val="0"/>
                <w:sz w:val="22"/>
                <w:szCs w:val="22"/>
                <w:lang w:val="en-US" w:eastAsia="zh-CN" w:bidi="ar-SA"/>
              </w:rPr>
              <w:t>人员到场</w:t>
            </w:r>
          </w:p>
        </w:tc>
        <w:tc>
          <w:tcPr>
            <w:tcW w:w="3675" w:type="dxa"/>
            <w:vMerge w:val="restart"/>
            <w:tcBorders>
              <w:top w:val="single" w:color="000000" w:sz="4" w:space="0"/>
              <w:left w:val="single" w:color="000000" w:sz="4" w:space="0"/>
              <w:bottom w:val="single" w:color="000000" w:sz="4" w:space="0"/>
              <w:right w:val="single" w:color="000000" w:sz="4" w:space="0"/>
            </w:tcBorders>
            <w:noWrap w:val="0"/>
            <w:vAlign w:val="center"/>
          </w:tcPr>
          <w:p w14:paraId="38A1FC9F">
            <w:pPr>
              <w:widowControl/>
              <w:jc w:val="left"/>
              <w:textAlignment w:val="center"/>
              <w:rPr>
                <w:rFonts w:hint="eastAsia" w:ascii="Times New Roman" w:hAnsi="Times New Roman" w:eastAsia="仿宋_GB2312" w:cs="Times New Roman"/>
                <w:i w:val="0"/>
                <w:color w:val="auto"/>
                <w:sz w:val="22"/>
                <w:szCs w:val="22"/>
              </w:rPr>
            </w:pPr>
            <w:r>
              <w:rPr>
                <w:rFonts w:hint="eastAsia" w:ascii="Times New Roman" w:hAnsi="Times New Roman" w:eastAsia="仿宋_GB2312" w:cs="Times New Roman"/>
                <w:i w:val="0"/>
                <w:color w:val="auto"/>
                <w:kern w:val="0"/>
                <w:sz w:val="22"/>
                <w:szCs w:val="22"/>
                <w:lang w:val="en-US" w:eastAsia="zh-CN" w:bidi="ar-SA"/>
              </w:rPr>
              <w:t>消防维保单位应急事件进行处理时是否按规定30分钟内到达现场进行排除维护人员是否持公司统一证件入场，否则扣3分</w:t>
            </w:r>
          </w:p>
        </w:tc>
        <w:tc>
          <w:tcPr>
            <w:tcW w:w="1035" w:type="dxa"/>
            <w:vMerge w:val="restart"/>
            <w:tcBorders>
              <w:top w:val="single" w:color="000000" w:sz="4" w:space="0"/>
              <w:left w:val="single" w:color="000000" w:sz="4" w:space="0"/>
              <w:bottom w:val="single" w:color="000000" w:sz="4" w:space="0"/>
              <w:right w:val="single" w:color="000000" w:sz="4" w:space="0"/>
            </w:tcBorders>
            <w:noWrap w:val="0"/>
            <w:vAlign w:val="center"/>
          </w:tcPr>
          <w:p w14:paraId="035F354A">
            <w:pPr>
              <w:widowControl/>
              <w:jc w:val="center"/>
              <w:textAlignment w:val="center"/>
              <w:rPr>
                <w:rFonts w:hint="eastAsia" w:ascii="Times New Roman" w:hAnsi="Times New Roman" w:eastAsia="仿宋_GB2312" w:cs="Times New Roman"/>
                <w:i w:val="0"/>
                <w:color w:val="auto"/>
                <w:sz w:val="22"/>
                <w:szCs w:val="22"/>
              </w:rPr>
            </w:pPr>
            <w:r>
              <w:rPr>
                <w:rFonts w:hint="eastAsia" w:ascii="Times New Roman" w:hAnsi="Times New Roman" w:eastAsia="仿宋_GB2312" w:cs="Times New Roman"/>
                <w:i w:val="0"/>
                <w:color w:val="auto"/>
                <w:kern w:val="0"/>
                <w:sz w:val="22"/>
                <w:szCs w:val="22"/>
                <w:lang w:val="en-US" w:eastAsia="zh-CN" w:bidi="ar-SA"/>
              </w:rPr>
              <w:t>3</w:t>
            </w:r>
          </w:p>
        </w:tc>
        <w:tc>
          <w:tcPr>
            <w:tcW w:w="930" w:type="dxa"/>
            <w:vMerge w:val="restart"/>
            <w:tcBorders>
              <w:top w:val="single" w:color="000000" w:sz="4" w:space="0"/>
              <w:left w:val="single" w:color="000000" w:sz="4" w:space="0"/>
              <w:bottom w:val="single" w:color="000000" w:sz="4" w:space="0"/>
              <w:right w:val="single" w:color="000000" w:sz="4" w:space="0"/>
            </w:tcBorders>
            <w:noWrap w:val="0"/>
            <w:vAlign w:val="top"/>
          </w:tcPr>
          <w:p w14:paraId="443BE20D">
            <w:pPr>
              <w:jc w:val="both"/>
              <w:rPr>
                <w:rFonts w:hint="eastAsia" w:ascii="Times New Roman" w:hAnsi="Times New Roman" w:eastAsia="仿宋_GB2312" w:cs="Times New Roman"/>
                <w:i w:val="0"/>
                <w:color w:val="auto"/>
                <w:sz w:val="22"/>
                <w:szCs w:val="22"/>
              </w:rPr>
            </w:pPr>
          </w:p>
        </w:tc>
        <w:tc>
          <w:tcPr>
            <w:tcW w:w="990" w:type="dxa"/>
            <w:vMerge w:val="restart"/>
            <w:tcBorders>
              <w:top w:val="single" w:color="000000" w:sz="4" w:space="0"/>
              <w:left w:val="single" w:color="000000" w:sz="4" w:space="0"/>
              <w:bottom w:val="single" w:color="000000" w:sz="4" w:space="0"/>
              <w:right w:val="single" w:color="000000" w:sz="4" w:space="0"/>
            </w:tcBorders>
            <w:noWrap w:val="0"/>
            <w:vAlign w:val="top"/>
          </w:tcPr>
          <w:p w14:paraId="24044EC5">
            <w:pPr>
              <w:jc w:val="both"/>
              <w:rPr>
                <w:rFonts w:hint="eastAsia" w:ascii="Times New Roman" w:hAnsi="Times New Roman" w:eastAsia="仿宋_GB2312" w:cs="Times New Roman"/>
                <w:i w:val="0"/>
                <w:color w:val="auto"/>
                <w:sz w:val="22"/>
                <w:szCs w:val="22"/>
              </w:rPr>
            </w:pPr>
          </w:p>
        </w:tc>
      </w:tr>
      <w:tr w14:paraId="2D3F08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1"/>
          <w:wAfter w:w="15" w:type="dxa"/>
          <w:trHeight w:val="870" w:hRule="atLeast"/>
        </w:trPr>
        <w:tc>
          <w:tcPr>
            <w:tcW w:w="720" w:type="dxa"/>
            <w:vMerge w:val="continue"/>
            <w:tcBorders>
              <w:top w:val="single" w:color="000000" w:sz="4" w:space="0"/>
              <w:left w:val="single" w:color="000000" w:sz="4" w:space="0"/>
              <w:bottom w:val="single" w:color="000000" w:sz="4" w:space="0"/>
              <w:right w:val="single" w:color="000000" w:sz="4" w:space="0"/>
            </w:tcBorders>
            <w:noWrap w:val="0"/>
            <w:vAlign w:val="center"/>
          </w:tcPr>
          <w:p w14:paraId="355DF600">
            <w:pPr>
              <w:jc w:val="center"/>
              <w:rPr>
                <w:rFonts w:hint="eastAsia" w:ascii="Times New Roman" w:hAnsi="Times New Roman" w:eastAsia="仿宋_GB2312" w:cs="Times New Roman"/>
                <w:i w:val="0"/>
                <w:color w:val="auto"/>
                <w:sz w:val="22"/>
                <w:szCs w:val="22"/>
              </w:rPr>
            </w:pPr>
          </w:p>
        </w:tc>
        <w:tc>
          <w:tcPr>
            <w:tcW w:w="1581"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14:paraId="1C9628DE">
            <w:pPr>
              <w:jc w:val="center"/>
              <w:rPr>
                <w:rFonts w:hint="eastAsia" w:ascii="Times New Roman" w:hAnsi="Times New Roman" w:eastAsia="仿宋_GB2312" w:cs="Times New Roman"/>
                <w:i w:val="0"/>
                <w:color w:val="auto"/>
                <w:sz w:val="22"/>
                <w:szCs w:val="22"/>
              </w:rPr>
            </w:pPr>
          </w:p>
        </w:tc>
        <w:tc>
          <w:tcPr>
            <w:tcW w:w="3675" w:type="dxa"/>
            <w:vMerge w:val="continue"/>
            <w:tcBorders>
              <w:top w:val="single" w:color="000000" w:sz="4" w:space="0"/>
              <w:left w:val="single" w:color="000000" w:sz="4" w:space="0"/>
              <w:bottom w:val="single" w:color="000000" w:sz="4" w:space="0"/>
              <w:right w:val="single" w:color="000000" w:sz="4" w:space="0"/>
            </w:tcBorders>
            <w:noWrap w:val="0"/>
            <w:vAlign w:val="center"/>
          </w:tcPr>
          <w:p w14:paraId="300D614E">
            <w:pPr>
              <w:jc w:val="left"/>
              <w:rPr>
                <w:rFonts w:hint="eastAsia" w:ascii="Times New Roman" w:hAnsi="Times New Roman" w:eastAsia="仿宋_GB2312" w:cs="Times New Roman"/>
                <w:i w:val="0"/>
                <w:color w:val="auto"/>
                <w:sz w:val="22"/>
                <w:szCs w:val="22"/>
              </w:rPr>
            </w:pPr>
          </w:p>
        </w:tc>
        <w:tc>
          <w:tcPr>
            <w:tcW w:w="1035" w:type="dxa"/>
            <w:vMerge w:val="continue"/>
            <w:tcBorders>
              <w:top w:val="single" w:color="000000" w:sz="4" w:space="0"/>
              <w:left w:val="single" w:color="000000" w:sz="4" w:space="0"/>
              <w:bottom w:val="single" w:color="000000" w:sz="4" w:space="0"/>
              <w:right w:val="single" w:color="000000" w:sz="4" w:space="0"/>
            </w:tcBorders>
            <w:noWrap w:val="0"/>
            <w:vAlign w:val="center"/>
          </w:tcPr>
          <w:p w14:paraId="247B452E">
            <w:pPr>
              <w:jc w:val="center"/>
              <w:rPr>
                <w:rFonts w:hint="eastAsia" w:ascii="Times New Roman" w:hAnsi="Times New Roman" w:eastAsia="仿宋_GB2312" w:cs="Times New Roman"/>
                <w:i w:val="0"/>
                <w:color w:val="auto"/>
                <w:sz w:val="22"/>
                <w:szCs w:val="22"/>
              </w:rPr>
            </w:pPr>
          </w:p>
        </w:tc>
        <w:tc>
          <w:tcPr>
            <w:tcW w:w="930" w:type="dxa"/>
            <w:vMerge w:val="continue"/>
            <w:tcBorders>
              <w:top w:val="single" w:color="000000" w:sz="4" w:space="0"/>
              <w:left w:val="single" w:color="000000" w:sz="4" w:space="0"/>
              <w:bottom w:val="single" w:color="000000" w:sz="4" w:space="0"/>
              <w:right w:val="single" w:color="000000" w:sz="4" w:space="0"/>
            </w:tcBorders>
            <w:noWrap w:val="0"/>
            <w:vAlign w:val="top"/>
          </w:tcPr>
          <w:p w14:paraId="325BD352">
            <w:pPr>
              <w:jc w:val="both"/>
              <w:rPr>
                <w:rFonts w:hint="eastAsia" w:ascii="Times New Roman" w:hAnsi="Times New Roman" w:eastAsia="仿宋_GB2312" w:cs="Times New Roman"/>
                <w:i w:val="0"/>
                <w:color w:val="auto"/>
                <w:sz w:val="22"/>
                <w:szCs w:val="22"/>
              </w:rPr>
            </w:pPr>
          </w:p>
        </w:tc>
        <w:tc>
          <w:tcPr>
            <w:tcW w:w="990" w:type="dxa"/>
            <w:vMerge w:val="continue"/>
            <w:tcBorders>
              <w:top w:val="single" w:color="000000" w:sz="4" w:space="0"/>
              <w:left w:val="single" w:color="000000" w:sz="4" w:space="0"/>
              <w:bottom w:val="single" w:color="000000" w:sz="4" w:space="0"/>
              <w:right w:val="single" w:color="000000" w:sz="4" w:space="0"/>
            </w:tcBorders>
            <w:noWrap w:val="0"/>
            <w:vAlign w:val="top"/>
          </w:tcPr>
          <w:p w14:paraId="5836B5D7">
            <w:pPr>
              <w:jc w:val="both"/>
              <w:rPr>
                <w:rFonts w:hint="eastAsia" w:ascii="Times New Roman" w:hAnsi="Times New Roman" w:eastAsia="仿宋_GB2312" w:cs="Times New Roman"/>
                <w:i w:val="0"/>
                <w:color w:val="auto"/>
                <w:sz w:val="22"/>
                <w:szCs w:val="22"/>
              </w:rPr>
            </w:pPr>
          </w:p>
        </w:tc>
      </w:tr>
      <w:tr w14:paraId="067D4F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1"/>
          <w:wAfter w:w="15" w:type="dxa"/>
          <w:trHeight w:val="1140" w:hRule="atLeast"/>
        </w:trPr>
        <w:tc>
          <w:tcPr>
            <w:tcW w:w="720" w:type="dxa"/>
            <w:vMerge w:val="restart"/>
            <w:tcBorders>
              <w:top w:val="single" w:color="000000" w:sz="4" w:space="0"/>
              <w:left w:val="single" w:color="000000" w:sz="4" w:space="0"/>
              <w:bottom w:val="single" w:color="000000" w:sz="4" w:space="0"/>
              <w:right w:val="single" w:color="000000" w:sz="4" w:space="0"/>
            </w:tcBorders>
            <w:noWrap w:val="0"/>
            <w:vAlign w:val="center"/>
          </w:tcPr>
          <w:p w14:paraId="69860556">
            <w:pPr>
              <w:widowControl/>
              <w:jc w:val="center"/>
              <w:textAlignment w:val="center"/>
              <w:rPr>
                <w:rFonts w:hint="eastAsia" w:ascii="Times New Roman" w:hAnsi="Times New Roman" w:eastAsia="仿宋_GB2312" w:cs="Times New Roman"/>
                <w:i w:val="0"/>
                <w:color w:val="auto"/>
                <w:sz w:val="22"/>
                <w:szCs w:val="22"/>
              </w:rPr>
            </w:pPr>
            <w:r>
              <w:rPr>
                <w:rFonts w:hint="eastAsia" w:ascii="Times New Roman" w:hAnsi="Times New Roman" w:eastAsia="仿宋_GB2312" w:cs="Times New Roman"/>
                <w:i w:val="0"/>
                <w:color w:val="auto"/>
                <w:kern w:val="0"/>
                <w:sz w:val="22"/>
                <w:szCs w:val="22"/>
                <w:lang w:val="en-US" w:eastAsia="zh-CN" w:bidi="ar-SA"/>
              </w:rPr>
              <w:t>3</w:t>
            </w:r>
          </w:p>
        </w:tc>
        <w:tc>
          <w:tcPr>
            <w:tcW w:w="1581" w:type="dxa"/>
            <w:gridSpan w:val="3"/>
            <w:vMerge w:val="restart"/>
            <w:tcBorders>
              <w:top w:val="single" w:color="000000" w:sz="4" w:space="0"/>
              <w:left w:val="single" w:color="000000" w:sz="4" w:space="0"/>
              <w:bottom w:val="single" w:color="000000" w:sz="4" w:space="0"/>
              <w:right w:val="single" w:color="000000" w:sz="4" w:space="0"/>
            </w:tcBorders>
            <w:noWrap w:val="0"/>
            <w:vAlign w:val="center"/>
          </w:tcPr>
          <w:p w14:paraId="708FC0AD">
            <w:pPr>
              <w:widowControl/>
              <w:jc w:val="center"/>
              <w:textAlignment w:val="center"/>
              <w:rPr>
                <w:rFonts w:hint="eastAsia" w:ascii="Times New Roman" w:hAnsi="Times New Roman" w:eastAsia="仿宋_GB2312" w:cs="Times New Roman"/>
                <w:i w:val="0"/>
                <w:color w:val="auto"/>
                <w:sz w:val="22"/>
                <w:szCs w:val="22"/>
              </w:rPr>
            </w:pPr>
            <w:r>
              <w:rPr>
                <w:rFonts w:hint="eastAsia" w:ascii="Times New Roman" w:hAnsi="Times New Roman" w:eastAsia="仿宋_GB2312" w:cs="Times New Roman"/>
                <w:i w:val="0"/>
                <w:color w:val="auto"/>
                <w:kern w:val="0"/>
                <w:sz w:val="22"/>
                <w:szCs w:val="22"/>
                <w:lang w:val="en-US" w:eastAsia="zh-CN" w:bidi="ar-SA"/>
              </w:rPr>
              <w:t>故障修复</w:t>
            </w:r>
          </w:p>
        </w:tc>
        <w:tc>
          <w:tcPr>
            <w:tcW w:w="3675" w:type="dxa"/>
            <w:vMerge w:val="restart"/>
            <w:tcBorders>
              <w:top w:val="single" w:color="000000" w:sz="4" w:space="0"/>
              <w:left w:val="single" w:color="000000" w:sz="4" w:space="0"/>
              <w:bottom w:val="single" w:color="000000" w:sz="4" w:space="0"/>
              <w:right w:val="single" w:color="000000" w:sz="4" w:space="0"/>
            </w:tcBorders>
            <w:noWrap w:val="0"/>
            <w:vAlign w:val="center"/>
          </w:tcPr>
          <w:p w14:paraId="66D864B3">
            <w:pPr>
              <w:widowControl/>
              <w:jc w:val="left"/>
              <w:textAlignment w:val="center"/>
              <w:rPr>
                <w:rFonts w:hint="eastAsia" w:ascii="Times New Roman" w:hAnsi="Times New Roman" w:eastAsia="仿宋_GB2312" w:cs="Times New Roman"/>
                <w:i w:val="0"/>
                <w:color w:val="auto"/>
                <w:sz w:val="22"/>
                <w:szCs w:val="22"/>
              </w:rPr>
            </w:pPr>
            <w:r>
              <w:rPr>
                <w:rFonts w:hint="eastAsia" w:ascii="Times New Roman" w:hAnsi="Times New Roman" w:eastAsia="仿宋_GB2312" w:cs="Times New Roman"/>
                <w:i w:val="0"/>
                <w:color w:val="auto"/>
                <w:kern w:val="0"/>
                <w:sz w:val="22"/>
                <w:szCs w:val="22"/>
                <w:lang w:val="en-US" w:eastAsia="zh-CN" w:bidi="ar-SA"/>
              </w:rPr>
              <w:t>消防系统出现系统故障时是否按规定2小时内修复故障，并保证设备的正常运行（需更换大型消防设备除外）。否则扣3分</w:t>
            </w:r>
          </w:p>
        </w:tc>
        <w:tc>
          <w:tcPr>
            <w:tcW w:w="1035" w:type="dxa"/>
            <w:vMerge w:val="restart"/>
            <w:tcBorders>
              <w:top w:val="single" w:color="000000" w:sz="4" w:space="0"/>
              <w:left w:val="single" w:color="000000" w:sz="4" w:space="0"/>
              <w:bottom w:val="single" w:color="000000" w:sz="4" w:space="0"/>
              <w:right w:val="single" w:color="000000" w:sz="4" w:space="0"/>
            </w:tcBorders>
            <w:noWrap w:val="0"/>
            <w:vAlign w:val="center"/>
          </w:tcPr>
          <w:p w14:paraId="183C4FDD">
            <w:pPr>
              <w:widowControl/>
              <w:jc w:val="center"/>
              <w:textAlignment w:val="center"/>
              <w:rPr>
                <w:rFonts w:hint="eastAsia" w:ascii="Times New Roman" w:hAnsi="Times New Roman" w:eastAsia="仿宋_GB2312" w:cs="Times New Roman"/>
                <w:i w:val="0"/>
                <w:color w:val="auto"/>
                <w:sz w:val="22"/>
                <w:szCs w:val="22"/>
              </w:rPr>
            </w:pPr>
            <w:r>
              <w:rPr>
                <w:rFonts w:hint="eastAsia" w:ascii="Times New Roman" w:hAnsi="Times New Roman" w:eastAsia="仿宋_GB2312" w:cs="Times New Roman"/>
                <w:i w:val="0"/>
                <w:color w:val="auto"/>
                <w:kern w:val="0"/>
                <w:sz w:val="22"/>
                <w:szCs w:val="22"/>
                <w:lang w:val="en-US" w:eastAsia="zh-CN" w:bidi="ar-SA"/>
              </w:rPr>
              <w:t>3</w:t>
            </w:r>
          </w:p>
        </w:tc>
        <w:tc>
          <w:tcPr>
            <w:tcW w:w="930" w:type="dxa"/>
            <w:vMerge w:val="restart"/>
            <w:tcBorders>
              <w:top w:val="single" w:color="000000" w:sz="4" w:space="0"/>
              <w:left w:val="single" w:color="000000" w:sz="4" w:space="0"/>
              <w:bottom w:val="single" w:color="000000" w:sz="4" w:space="0"/>
              <w:right w:val="single" w:color="000000" w:sz="4" w:space="0"/>
            </w:tcBorders>
            <w:noWrap w:val="0"/>
            <w:vAlign w:val="top"/>
          </w:tcPr>
          <w:p w14:paraId="79D7AC25">
            <w:pPr>
              <w:jc w:val="both"/>
              <w:rPr>
                <w:rFonts w:hint="eastAsia" w:ascii="Times New Roman" w:hAnsi="Times New Roman" w:eastAsia="仿宋_GB2312" w:cs="Times New Roman"/>
                <w:i w:val="0"/>
                <w:color w:val="auto"/>
                <w:sz w:val="22"/>
                <w:szCs w:val="22"/>
              </w:rPr>
            </w:pPr>
          </w:p>
        </w:tc>
        <w:tc>
          <w:tcPr>
            <w:tcW w:w="990" w:type="dxa"/>
            <w:vMerge w:val="restart"/>
            <w:tcBorders>
              <w:top w:val="single" w:color="000000" w:sz="4" w:space="0"/>
              <w:left w:val="single" w:color="000000" w:sz="4" w:space="0"/>
              <w:bottom w:val="single" w:color="000000" w:sz="4" w:space="0"/>
              <w:right w:val="single" w:color="000000" w:sz="4" w:space="0"/>
            </w:tcBorders>
            <w:noWrap w:val="0"/>
            <w:vAlign w:val="top"/>
          </w:tcPr>
          <w:p w14:paraId="7C7FA888">
            <w:pPr>
              <w:jc w:val="both"/>
              <w:rPr>
                <w:rFonts w:hint="eastAsia" w:ascii="Times New Roman" w:hAnsi="Times New Roman" w:eastAsia="仿宋_GB2312" w:cs="Times New Roman"/>
                <w:i w:val="0"/>
                <w:color w:val="auto"/>
                <w:sz w:val="22"/>
                <w:szCs w:val="22"/>
              </w:rPr>
            </w:pPr>
          </w:p>
        </w:tc>
      </w:tr>
      <w:tr w14:paraId="11C5EC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1"/>
          <w:wAfter w:w="15" w:type="dxa"/>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noWrap w:val="0"/>
            <w:vAlign w:val="center"/>
          </w:tcPr>
          <w:p w14:paraId="32389444">
            <w:pPr>
              <w:jc w:val="center"/>
              <w:rPr>
                <w:rFonts w:hint="eastAsia" w:ascii="Times New Roman" w:hAnsi="Times New Roman" w:eastAsia="仿宋_GB2312" w:cs="Times New Roman"/>
                <w:i w:val="0"/>
                <w:color w:val="auto"/>
                <w:sz w:val="22"/>
                <w:szCs w:val="22"/>
              </w:rPr>
            </w:pPr>
          </w:p>
        </w:tc>
        <w:tc>
          <w:tcPr>
            <w:tcW w:w="1581"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14:paraId="21BA6B06">
            <w:pPr>
              <w:jc w:val="center"/>
              <w:rPr>
                <w:rFonts w:hint="eastAsia" w:ascii="Times New Roman" w:hAnsi="Times New Roman" w:eastAsia="仿宋_GB2312" w:cs="Times New Roman"/>
                <w:i w:val="0"/>
                <w:color w:val="auto"/>
                <w:sz w:val="22"/>
                <w:szCs w:val="22"/>
              </w:rPr>
            </w:pPr>
          </w:p>
        </w:tc>
        <w:tc>
          <w:tcPr>
            <w:tcW w:w="3675" w:type="dxa"/>
            <w:vMerge w:val="continue"/>
            <w:tcBorders>
              <w:top w:val="single" w:color="000000" w:sz="4" w:space="0"/>
              <w:left w:val="single" w:color="000000" w:sz="4" w:space="0"/>
              <w:bottom w:val="single" w:color="000000" w:sz="4" w:space="0"/>
              <w:right w:val="single" w:color="000000" w:sz="4" w:space="0"/>
            </w:tcBorders>
            <w:noWrap w:val="0"/>
            <w:vAlign w:val="center"/>
          </w:tcPr>
          <w:p w14:paraId="4898BD23">
            <w:pPr>
              <w:jc w:val="left"/>
              <w:rPr>
                <w:rFonts w:hint="eastAsia" w:ascii="Times New Roman" w:hAnsi="Times New Roman" w:eastAsia="仿宋_GB2312" w:cs="Times New Roman"/>
                <w:i w:val="0"/>
                <w:color w:val="auto"/>
                <w:sz w:val="22"/>
                <w:szCs w:val="22"/>
              </w:rPr>
            </w:pPr>
          </w:p>
        </w:tc>
        <w:tc>
          <w:tcPr>
            <w:tcW w:w="1035" w:type="dxa"/>
            <w:vMerge w:val="continue"/>
            <w:tcBorders>
              <w:top w:val="single" w:color="000000" w:sz="4" w:space="0"/>
              <w:left w:val="single" w:color="000000" w:sz="4" w:space="0"/>
              <w:bottom w:val="single" w:color="000000" w:sz="4" w:space="0"/>
              <w:right w:val="single" w:color="000000" w:sz="4" w:space="0"/>
            </w:tcBorders>
            <w:noWrap w:val="0"/>
            <w:vAlign w:val="center"/>
          </w:tcPr>
          <w:p w14:paraId="15C97AC5">
            <w:pPr>
              <w:jc w:val="center"/>
              <w:rPr>
                <w:rFonts w:hint="eastAsia" w:ascii="Times New Roman" w:hAnsi="Times New Roman" w:eastAsia="仿宋_GB2312" w:cs="Times New Roman"/>
                <w:i w:val="0"/>
                <w:color w:val="auto"/>
                <w:sz w:val="22"/>
                <w:szCs w:val="22"/>
              </w:rPr>
            </w:pPr>
          </w:p>
        </w:tc>
        <w:tc>
          <w:tcPr>
            <w:tcW w:w="930" w:type="dxa"/>
            <w:vMerge w:val="continue"/>
            <w:tcBorders>
              <w:top w:val="single" w:color="000000" w:sz="4" w:space="0"/>
              <w:left w:val="single" w:color="000000" w:sz="4" w:space="0"/>
              <w:bottom w:val="single" w:color="000000" w:sz="4" w:space="0"/>
              <w:right w:val="single" w:color="000000" w:sz="4" w:space="0"/>
            </w:tcBorders>
            <w:noWrap w:val="0"/>
            <w:vAlign w:val="top"/>
          </w:tcPr>
          <w:p w14:paraId="103D3EB9">
            <w:pPr>
              <w:jc w:val="both"/>
              <w:rPr>
                <w:rFonts w:hint="eastAsia" w:ascii="Times New Roman" w:hAnsi="Times New Roman" w:eastAsia="仿宋_GB2312" w:cs="Times New Roman"/>
                <w:i w:val="0"/>
                <w:color w:val="auto"/>
                <w:sz w:val="22"/>
                <w:szCs w:val="22"/>
              </w:rPr>
            </w:pPr>
          </w:p>
        </w:tc>
        <w:tc>
          <w:tcPr>
            <w:tcW w:w="990" w:type="dxa"/>
            <w:vMerge w:val="continue"/>
            <w:tcBorders>
              <w:top w:val="single" w:color="000000" w:sz="4" w:space="0"/>
              <w:left w:val="single" w:color="000000" w:sz="4" w:space="0"/>
              <w:bottom w:val="single" w:color="000000" w:sz="4" w:space="0"/>
              <w:right w:val="single" w:color="000000" w:sz="4" w:space="0"/>
            </w:tcBorders>
            <w:noWrap w:val="0"/>
            <w:vAlign w:val="top"/>
          </w:tcPr>
          <w:p w14:paraId="243A7D5A">
            <w:pPr>
              <w:jc w:val="both"/>
              <w:rPr>
                <w:rFonts w:hint="eastAsia" w:ascii="Times New Roman" w:hAnsi="Times New Roman" w:eastAsia="仿宋_GB2312" w:cs="Times New Roman"/>
                <w:i w:val="0"/>
                <w:color w:val="auto"/>
                <w:sz w:val="22"/>
                <w:szCs w:val="22"/>
              </w:rPr>
            </w:pPr>
          </w:p>
        </w:tc>
      </w:tr>
      <w:tr w14:paraId="6FE23F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1"/>
          <w:wAfter w:w="15" w:type="dxa"/>
          <w:trHeight w:val="585" w:hRule="atLeast"/>
        </w:trPr>
        <w:tc>
          <w:tcPr>
            <w:tcW w:w="720" w:type="dxa"/>
            <w:vMerge w:val="restart"/>
            <w:tcBorders>
              <w:top w:val="single" w:color="000000" w:sz="4" w:space="0"/>
              <w:left w:val="single" w:color="000000" w:sz="4" w:space="0"/>
              <w:bottom w:val="single" w:color="000000" w:sz="4" w:space="0"/>
              <w:right w:val="single" w:color="000000" w:sz="4" w:space="0"/>
            </w:tcBorders>
            <w:noWrap w:val="0"/>
            <w:vAlign w:val="center"/>
          </w:tcPr>
          <w:p w14:paraId="346DB7D4">
            <w:pPr>
              <w:widowControl/>
              <w:jc w:val="center"/>
              <w:textAlignment w:val="center"/>
              <w:rPr>
                <w:rFonts w:hint="eastAsia" w:ascii="Times New Roman" w:hAnsi="Times New Roman" w:eastAsia="仿宋_GB2312" w:cs="Times New Roman"/>
                <w:i w:val="0"/>
                <w:color w:val="auto"/>
                <w:sz w:val="22"/>
                <w:szCs w:val="22"/>
              </w:rPr>
            </w:pPr>
            <w:r>
              <w:rPr>
                <w:rFonts w:hint="eastAsia" w:ascii="Times New Roman" w:hAnsi="Times New Roman" w:eastAsia="仿宋_GB2312" w:cs="Times New Roman"/>
                <w:i w:val="0"/>
                <w:color w:val="auto"/>
                <w:kern w:val="0"/>
                <w:sz w:val="22"/>
                <w:szCs w:val="22"/>
                <w:lang w:val="en-US" w:eastAsia="zh-CN" w:bidi="ar-SA"/>
              </w:rPr>
              <w:t>4</w:t>
            </w:r>
          </w:p>
        </w:tc>
        <w:tc>
          <w:tcPr>
            <w:tcW w:w="1581" w:type="dxa"/>
            <w:gridSpan w:val="3"/>
            <w:vMerge w:val="restart"/>
            <w:tcBorders>
              <w:top w:val="single" w:color="000000" w:sz="4" w:space="0"/>
              <w:left w:val="single" w:color="000000" w:sz="4" w:space="0"/>
              <w:bottom w:val="single" w:color="000000" w:sz="4" w:space="0"/>
              <w:right w:val="single" w:color="000000" w:sz="4" w:space="0"/>
            </w:tcBorders>
            <w:noWrap w:val="0"/>
            <w:vAlign w:val="center"/>
          </w:tcPr>
          <w:p w14:paraId="24233116">
            <w:pPr>
              <w:widowControl/>
              <w:jc w:val="center"/>
              <w:textAlignment w:val="center"/>
              <w:rPr>
                <w:rFonts w:hint="eastAsia" w:ascii="Times New Roman" w:hAnsi="Times New Roman" w:eastAsia="仿宋_GB2312" w:cs="Times New Roman"/>
                <w:i w:val="0"/>
                <w:color w:val="auto"/>
                <w:sz w:val="22"/>
                <w:szCs w:val="22"/>
              </w:rPr>
            </w:pPr>
            <w:r>
              <w:rPr>
                <w:rFonts w:hint="eastAsia" w:ascii="Times New Roman" w:hAnsi="Times New Roman" w:eastAsia="仿宋_GB2312" w:cs="Times New Roman"/>
                <w:i w:val="0"/>
                <w:color w:val="auto"/>
                <w:kern w:val="0"/>
                <w:sz w:val="22"/>
                <w:szCs w:val="22"/>
                <w:lang w:val="en-US" w:eastAsia="zh-CN" w:bidi="ar-SA"/>
              </w:rPr>
              <w:t>卫生</w:t>
            </w:r>
          </w:p>
        </w:tc>
        <w:tc>
          <w:tcPr>
            <w:tcW w:w="3675" w:type="dxa"/>
            <w:vMerge w:val="restart"/>
            <w:tcBorders>
              <w:top w:val="single" w:color="000000" w:sz="4" w:space="0"/>
              <w:left w:val="single" w:color="000000" w:sz="4" w:space="0"/>
              <w:bottom w:val="single" w:color="000000" w:sz="4" w:space="0"/>
              <w:right w:val="single" w:color="000000" w:sz="4" w:space="0"/>
            </w:tcBorders>
            <w:noWrap w:val="0"/>
            <w:vAlign w:val="center"/>
          </w:tcPr>
          <w:p w14:paraId="3A574420">
            <w:pPr>
              <w:widowControl/>
              <w:jc w:val="left"/>
              <w:textAlignment w:val="center"/>
              <w:rPr>
                <w:rFonts w:hint="eastAsia" w:ascii="Times New Roman" w:hAnsi="Times New Roman" w:eastAsia="仿宋_GB2312" w:cs="Times New Roman"/>
                <w:i w:val="0"/>
                <w:color w:val="auto"/>
                <w:sz w:val="22"/>
                <w:szCs w:val="22"/>
              </w:rPr>
            </w:pPr>
            <w:r>
              <w:rPr>
                <w:rFonts w:hint="eastAsia" w:ascii="Times New Roman" w:hAnsi="Times New Roman" w:eastAsia="仿宋_GB2312" w:cs="Times New Roman"/>
                <w:i w:val="0"/>
                <w:color w:val="auto"/>
                <w:kern w:val="0"/>
                <w:sz w:val="22"/>
                <w:szCs w:val="22"/>
                <w:lang w:val="en-US" w:eastAsia="zh-CN" w:bidi="ar-SA"/>
              </w:rPr>
              <w:t>维修、保养完是否清除垃圾，保证现场环境卫生，主机等各种设备符合清洁要求，否则一处扣3分</w:t>
            </w:r>
          </w:p>
        </w:tc>
        <w:tc>
          <w:tcPr>
            <w:tcW w:w="1035" w:type="dxa"/>
            <w:vMerge w:val="restart"/>
            <w:tcBorders>
              <w:top w:val="single" w:color="000000" w:sz="4" w:space="0"/>
              <w:left w:val="single" w:color="000000" w:sz="4" w:space="0"/>
              <w:bottom w:val="single" w:color="000000" w:sz="4" w:space="0"/>
              <w:right w:val="single" w:color="000000" w:sz="4" w:space="0"/>
            </w:tcBorders>
            <w:noWrap w:val="0"/>
            <w:vAlign w:val="center"/>
          </w:tcPr>
          <w:p w14:paraId="5F0E85C5">
            <w:pPr>
              <w:widowControl/>
              <w:jc w:val="center"/>
              <w:textAlignment w:val="center"/>
              <w:rPr>
                <w:rFonts w:hint="eastAsia" w:ascii="Times New Roman" w:hAnsi="Times New Roman" w:eastAsia="仿宋_GB2312" w:cs="Times New Roman"/>
                <w:i w:val="0"/>
                <w:color w:val="auto"/>
                <w:sz w:val="22"/>
                <w:szCs w:val="22"/>
              </w:rPr>
            </w:pPr>
            <w:r>
              <w:rPr>
                <w:rFonts w:hint="eastAsia" w:ascii="Times New Roman" w:hAnsi="Times New Roman" w:eastAsia="仿宋_GB2312" w:cs="Times New Roman"/>
                <w:i w:val="0"/>
                <w:color w:val="auto"/>
                <w:kern w:val="0"/>
                <w:sz w:val="22"/>
                <w:szCs w:val="22"/>
                <w:lang w:val="en-US" w:eastAsia="zh-CN" w:bidi="ar-SA"/>
              </w:rPr>
              <w:t>6</w:t>
            </w:r>
          </w:p>
        </w:tc>
        <w:tc>
          <w:tcPr>
            <w:tcW w:w="930" w:type="dxa"/>
            <w:vMerge w:val="restart"/>
            <w:tcBorders>
              <w:top w:val="single" w:color="000000" w:sz="4" w:space="0"/>
              <w:left w:val="single" w:color="000000" w:sz="4" w:space="0"/>
              <w:bottom w:val="single" w:color="000000" w:sz="4" w:space="0"/>
              <w:right w:val="single" w:color="000000" w:sz="4" w:space="0"/>
            </w:tcBorders>
            <w:noWrap w:val="0"/>
            <w:vAlign w:val="top"/>
          </w:tcPr>
          <w:p w14:paraId="31152FCC">
            <w:pPr>
              <w:jc w:val="both"/>
              <w:rPr>
                <w:rFonts w:hint="eastAsia" w:ascii="Times New Roman" w:hAnsi="Times New Roman" w:eastAsia="仿宋_GB2312" w:cs="Times New Roman"/>
                <w:i w:val="0"/>
                <w:color w:val="auto"/>
                <w:sz w:val="22"/>
                <w:szCs w:val="22"/>
              </w:rPr>
            </w:pPr>
          </w:p>
        </w:tc>
        <w:tc>
          <w:tcPr>
            <w:tcW w:w="990" w:type="dxa"/>
            <w:vMerge w:val="restart"/>
            <w:tcBorders>
              <w:top w:val="single" w:color="000000" w:sz="4" w:space="0"/>
              <w:left w:val="single" w:color="000000" w:sz="4" w:space="0"/>
              <w:bottom w:val="single" w:color="000000" w:sz="4" w:space="0"/>
              <w:right w:val="single" w:color="000000" w:sz="4" w:space="0"/>
            </w:tcBorders>
            <w:noWrap w:val="0"/>
            <w:vAlign w:val="top"/>
          </w:tcPr>
          <w:p w14:paraId="018A1087">
            <w:pPr>
              <w:jc w:val="both"/>
              <w:rPr>
                <w:rFonts w:hint="eastAsia" w:ascii="Times New Roman" w:hAnsi="Times New Roman" w:eastAsia="仿宋_GB2312" w:cs="Times New Roman"/>
                <w:i w:val="0"/>
                <w:color w:val="auto"/>
                <w:sz w:val="22"/>
                <w:szCs w:val="22"/>
              </w:rPr>
            </w:pPr>
          </w:p>
        </w:tc>
      </w:tr>
      <w:tr w14:paraId="4EA628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1"/>
          <w:wAfter w:w="15" w:type="dxa"/>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noWrap w:val="0"/>
            <w:vAlign w:val="center"/>
          </w:tcPr>
          <w:p w14:paraId="65491C34">
            <w:pPr>
              <w:jc w:val="center"/>
              <w:rPr>
                <w:rFonts w:hint="eastAsia" w:ascii="Times New Roman" w:hAnsi="Times New Roman" w:eastAsia="仿宋_GB2312" w:cs="Times New Roman"/>
                <w:i w:val="0"/>
                <w:color w:val="auto"/>
                <w:sz w:val="22"/>
                <w:szCs w:val="22"/>
              </w:rPr>
            </w:pPr>
          </w:p>
        </w:tc>
        <w:tc>
          <w:tcPr>
            <w:tcW w:w="1581"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14:paraId="343D6F08">
            <w:pPr>
              <w:jc w:val="center"/>
              <w:rPr>
                <w:rFonts w:hint="eastAsia" w:ascii="Times New Roman" w:hAnsi="Times New Roman" w:eastAsia="仿宋_GB2312" w:cs="Times New Roman"/>
                <w:i w:val="0"/>
                <w:color w:val="auto"/>
                <w:sz w:val="22"/>
                <w:szCs w:val="22"/>
              </w:rPr>
            </w:pPr>
          </w:p>
        </w:tc>
        <w:tc>
          <w:tcPr>
            <w:tcW w:w="3675" w:type="dxa"/>
            <w:vMerge w:val="continue"/>
            <w:tcBorders>
              <w:top w:val="single" w:color="000000" w:sz="4" w:space="0"/>
              <w:left w:val="single" w:color="000000" w:sz="4" w:space="0"/>
              <w:bottom w:val="single" w:color="000000" w:sz="4" w:space="0"/>
              <w:right w:val="single" w:color="000000" w:sz="4" w:space="0"/>
            </w:tcBorders>
            <w:noWrap w:val="0"/>
            <w:vAlign w:val="center"/>
          </w:tcPr>
          <w:p w14:paraId="4A3C03D1">
            <w:pPr>
              <w:jc w:val="left"/>
              <w:rPr>
                <w:rFonts w:hint="eastAsia" w:ascii="Times New Roman" w:hAnsi="Times New Roman" w:eastAsia="仿宋_GB2312" w:cs="Times New Roman"/>
                <w:i w:val="0"/>
                <w:color w:val="auto"/>
                <w:sz w:val="22"/>
                <w:szCs w:val="22"/>
              </w:rPr>
            </w:pPr>
          </w:p>
        </w:tc>
        <w:tc>
          <w:tcPr>
            <w:tcW w:w="1035" w:type="dxa"/>
            <w:vMerge w:val="continue"/>
            <w:tcBorders>
              <w:top w:val="single" w:color="000000" w:sz="4" w:space="0"/>
              <w:left w:val="single" w:color="000000" w:sz="4" w:space="0"/>
              <w:bottom w:val="single" w:color="000000" w:sz="4" w:space="0"/>
              <w:right w:val="single" w:color="000000" w:sz="4" w:space="0"/>
            </w:tcBorders>
            <w:noWrap w:val="0"/>
            <w:vAlign w:val="center"/>
          </w:tcPr>
          <w:p w14:paraId="75B552E3">
            <w:pPr>
              <w:jc w:val="center"/>
              <w:rPr>
                <w:rFonts w:hint="eastAsia" w:ascii="Times New Roman" w:hAnsi="Times New Roman" w:eastAsia="仿宋_GB2312" w:cs="Times New Roman"/>
                <w:i w:val="0"/>
                <w:color w:val="auto"/>
                <w:sz w:val="22"/>
                <w:szCs w:val="22"/>
              </w:rPr>
            </w:pPr>
          </w:p>
        </w:tc>
        <w:tc>
          <w:tcPr>
            <w:tcW w:w="930" w:type="dxa"/>
            <w:vMerge w:val="continue"/>
            <w:tcBorders>
              <w:top w:val="single" w:color="000000" w:sz="4" w:space="0"/>
              <w:left w:val="single" w:color="000000" w:sz="4" w:space="0"/>
              <w:bottom w:val="single" w:color="000000" w:sz="4" w:space="0"/>
              <w:right w:val="single" w:color="000000" w:sz="4" w:space="0"/>
            </w:tcBorders>
            <w:noWrap w:val="0"/>
            <w:vAlign w:val="top"/>
          </w:tcPr>
          <w:p w14:paraId="6AE5BA56">
            <w:pPr>
              <w:jc w:val="both"/>
              <w:rPr>
                <w:rFonts w:hint="eastAsia" w:ascii="Times New Roman" w:hAnsi="Times New Roman" w:eastAsia="仿宋_GB2312" w:cs="Times New Roman"/>
                <w:i w:val="0"/>
                <w:color w:val="auto"/>
                <w:sz w:val="22"/>
                <w:szCs w:val="22"/>
              </w:rPr>
            </w:pPr>
          </w:p>
        </w:tc>
        <w:tc>
          <w:tcPr>
            <w:tcW w:w="990" w:type="dxa"/>
            <w:vMerge w:val="continue"/>
            <w:tcBorders>
              <w:top w:val="single" w:color="000000" w:sz="4" w:space="0"/>
              <w:left w:val="single" w:color="000000" w:sz="4" w:space="0"/>
              <w:bottom w:val="single" w:color="000000" w:sz="4" w:space="0"/>
              <w:right w:val="single" w:color="000000" w:sz="4" w:space="0"/>
            </w:tcBorders>
            <w:noWrap w:val="0"/>
            <w:vAlign w:val="top"/>
          </w:tcPr>
          <w:p w14:paraId="109739C6">
            <w:pPr>
              <w:jc w:val="both"/>
              <w:rPr>
                <w:rFonts w:hint="eastAsia" w:ascii="Times New Roman" w:hAnsi="Times New Roman" w:eastAsia="仿宋_GB2312" w:cs="Times New Roman"/>
                <w:i w:val="0"/>
                <w:color w:val="auto"/>
                <w:sz w:val="22"/>
                <w:szCs w:val="22"/>
              </w:rPr>
            </w:pPr>
          </w:p>
        </w:tc>
      </w:tr>
      <w:tr w14:paraId="16D779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1"/>
          <w:wAfter w:w="15" w:type="dxa"/>
          <w:trHeight w:val="600" w:hRule="atLeast"/>
        </w:trPr>
        <w:tc>
          <w:tcPr>
            <w:tcW w:w="5976" w:type="dxa"/>
            <w:gridSpan w:val="5"/>
            <w:tcBorders>
              <w:top w:val="single" w:color="000000" w:sz="4" w:space="0"/>
              <w:left w:val="single" w:color="000000" w:sz="4" w:space="0"/>
              <w:bottom w:val="single" w:color="000000" w:sz="4" w:space="0"/>
              <w:right w:val="single" w:color="000000" w:sz="4" w:space="0"/>
            </w:tcBorders>
            <w:noWrap w:val="0"/>
            <w:vAlign w:val="center"/>
          </w:tcPr>
          <w:p w14:paraId="32B5F7F1">
            <w:pPr>
              <w:widowControl/>
              <w:jc w:val="left"/>
              <w:textAlignment w:val="center"/>
              <w:rPr>
                <w:rFonts w:hint="eastAsia" w:ascii="Times New Roman" w:hAnsi="Times New Roman" w:eastAsia="仿宋_GB2312" w:cs="Times New Roman"/>
                <w:i w:val="0"/>
                <w:color w:val="auto"/>
                <w:sz w:val="22"/>
                <w:szCs w:val="22"/>
              </w:rPr>
            </w:pPr>
            <w:r>
              <w:rPr>
                <w:rFonts w:hint="eastAsia" w:ascii="Times New Roman" w:hAnsi="Times New Roman" w:eastAsia="仿宋_GB2312" w:cs="Times New Roman"/>
                <w:i w:val="0"/>
                <w:color w:val="auto"/>
                <w:kern w:val="0"/>
                <w:sz w:val="22"/>
                <w:szCs w:val="22"/>
                <w:lang w:val="en-US" w:eastAsia="zh-CN" w:bidi="ar-SA"/>
              </w:rPr>
              <w:t>五、安全</w:t>
            </w:r>
          </w:p>
        </w:tc>
        <w:tc>
          <w:tcPr>
            <w:tcW w:w="1035" w:type="dxa"/>
            <w:tcBorders>
              <w:top w:val="single" w:color="000000" w:sz="4" w:space="0"/>
              <w:left w:val="single" w:color="000000" w:sz="4" w:space="0"/>
              <w:bottom w:val="single" w:color="000000" w:sz="4" w:space="0"/>
              <w:right w:val="single" w:color="000000" w:sz="4" w:space="0"/>
            </w:tcBorders>
            <w:noWrap w:val="0"/>
            <w:vAlign w:val="center"/>
          </w:tcPr>
          <w:p w14:paraId="37F08478">
            <w:pPr>
              <w:widowControl/>
              <w:jc w:val="center"/>
              <w:textAlignment w:val="center"/>
              <w:rPr>
                <w:rFonts w:hint="eastAsia" w:ascii="Times New Roman" w:hAnsi="Times New Roman" w:eastAsia="仿宋_GB2312" w:cs="Times New Roman"/>
                <w:i w:val="0"/>
                <w:color w:val="auto"/>
                <w:sz w:val="22"/>
                <w:szCs w:val="22"/>
              </w:rPr>
            </w:pPr>
            <w:r>
              <w:rPr>
                <w:rFonts w:hint="eastAsia" w:ascii="Times New Roman" w:hAnsi="Times New Roman" w:eastAsia="仿宋_GB2312" w:cs="Times New Roman"/>
                <w:i w:val="0"/>
                <w:color w:val="auto"/>
                <w:kern w:val="0"/>
                <w:sz w:val="22"/>
                <w:szCs w:val="22"/>
                <w:lang w:val="en-US" w:eastAsia="zh-CN" w:bidi="ar-SA"/>
              </w:rPr>
              <w:t>4</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14:paraId="0B589C6B">
            <w:pPr>
              <w:jc w:val="center"/>
              <w:rPr>
                <w:rFonts w:hint="eastAsia" w:ascii="Times New Roman" w:hAnsi="Times New Roman" w:eastAsia="仿宋_GB2312" w:cs="Times New Roman"/>
                <w:i w:val="0"/>
                <w:color w:val="auto"/>
                <w:sz w:val="22"/>
                <w:szCs w:val="22"/>
              </w:rPr>
            </w:pPr>
          </w:p>
        </w:tc>
        <w:tc>
          <w:tcPr>
            <w:tcW w:w="990" w:type="dxa"/>
            <w:tcBorders>
              <w:top w:val="single" w:color="000000" w:sz="4" w:space="0"/>
              <w:left w:val="single" w:color="000000" w:sz="4" w:space="0"/>
              <w:bottom w:val="single" w:color="000000" w:sz="4" w:space="0"/>
              <w:right w:val="single" w:color="000000" w:sz="4" w:space="0"/>
            </w:tcBorders>
            <w:noWrap w:val="0"/>
            <w:vAlign w:val="center"/>
          </w:tcPr>
          <w:p w14:paraId="6225B931">
            <w:pPr>
              <w:jc w:val="center"/>
              <w:rPr>
                <w:rFonts w:hint="eastAsia" w:ascii="Times New Roman" w:hAnsi="Times New Roman" w:eastAsia="仿宋_GB2312" w:cs="Times New Roman"/>
                <w:i w:val="0"/>
                <w:color w:val="auto"/>
                <w:sz w:val="22"/>
                <w:szCs w:val="22"/>
              </w:rPr>
            </w:pPr>
          </w:p>
        </w:tc>
      </w:tr>
      <w:tr w14:paraId="054A0E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1"/>
          <w:wAfter w:w="15" w:type="dxa"/>
          <w:trHeight w:val="585" w:hRule="atLeast"/>
        </w:trPr>
        <w:tc>
          <w:tcPr>
            <w:tcW w:w="720" w:type="dxa"/>
            <w:tcBorders>
              <w:top w:val="single" w:color="000000" w:sz="4" w:space="0"/>
              <w:left w:val="single" w:color="000000" w:sz="4" w:space="0"/>
              <w:bottom w:val="single" w:color="000000" w:sz="4" w:space="0"/>
              <w:right w:val="single" w:color="000000" w:sz="4" w:space="0"/>
            </w:tcBorders>
            <w:noWrap w:val="0"/>
            <w:vAlign w:val="center"/>
          </w:tcPr>
          <w:p w14:paraId="6E827A90">
            <w:pPr>
              <w:widowControl/>
              <w:jc w:val="center"/>
              <w:textAlignment w:val="center"/>
              <w:rPr>
                <w:rFonts w:hint="eastAsia" w:ascii="Times New Roman" w:hAnsi="Times New Roman" w:eastAsia="仿宋_GB2312" w:cs="Times New Roman"/>
                <w:i w:val="0"/>
                <w:color w:val="auto"/>
                <w:sz w:val="22"/>
                <w:szCs w:val="22"/>
              </w:rPr>
            </w:pPr>
            <w:r>
              <w:rPr>
                <w:rFonts w:hint="eastAsia" w:ascii="Times New Roman" w:hAnsi="Times New Roman" w:eastAsia="仿宋_GB2312" w:cs="Times New Roman"/>
                <w:i w:val="0"/>
                <w:color w:val="auto"/>
                <w:kern w:val="0"/>
                <w:sz w:val="22"/>
                <w:szCs w:val="22"/>
                <w:lang w:val="en-US" w:eastAsia="zh-CN" w:bidi="ar-SA"/>
              </w:rPr>
              <w:t>1</w:t>
            </w:r>
          </w:p>
        </w:tc>
        <w:tc>
          <w:tcPr>
            <w:tcW w:w="1581" w:type="dxa"/>
            <w:gridSpan w:val="3"/>
            <w:tcBorders>
              <w:top w:val="single" w:color="000000" w:sz="4" w:space="0"/>
              <w:left w:val="single" w:color="000000" w:sz="4" w:space="0"/>
              <w:bottom w:val="single" w:color="000000" w:sz="4" w:space="0"/>
              <w:right w:val="single" w:color="000000" w:sz="4" w:space="0"/>
            </w:tcBorders>
            <w:noWrap w:val="0"/>
            <w:vAlign w:val="center"/>
          </w:tcPr>
          <w:p w14:paraId="2F65D33B">
            <w:pPr>
              <w:widowControl/>
              <w:jc w:val="center"/>
              <w:textAlignment w:val="center"/>
              <w:rPr>
                <w:rFonts w:hint="eastAsia" w:ascii="Times New Roman" w:hAnsi="Times New Roman" w:eastAsia="仿宋_GB2312" w:cs="Times New Roman"/>
                <w:i w:val="0"/>
                <w:color w:val="auto"/>
                <w:sz w:val="22"/>
                <w:szCs w:val="22"/>
              </w:rPr>
            </w:pPr>
            <w:r>
              <w:rPr>
                <w:rFonts w:hint="eastAsia" w:ascii="Times New Roman" w:hAnsi="Times New Roman" w:eastAsia="仿宋_GB2312" w:cs="Times New Roman"/>
                <w:i w:val="0"/>
                <w:color w:val="auto"/>
                <w:kern w:val="0"/>
                <w:sz w:val="22"/>
                <w:szCs w:val="22"/>
                <w:lang w:val="en-US" w:eastAsia="zh-CN" w:bidi="ar-SA"/>
              </w:rPr>
              <w:t>安全事故</w:t>
            </w:r>
          </w:p>
        </w:tc>
        <w:tc>
          <w:tcPr>
            <w:tcW w:w="3675" w:type="dxa"/>
            <w:tcBorders>
              <w:top w:val="single" w:color="000000" w:sz="4" w:space="0"/>
              <w:left w:val="single" w:color="000000" w:sz="4" w:space="0"/>
              <w:bottom w:val="single" w:color="000000" w:sz="4" w:space="0"/>
              <w:right w:val="single" w:color="000000" w:sz="4" w:space="0"/>
            </w:tcBorders>
            <w:noWrap w:val="0"/>
            <w:vAlign w:val="center"/>
          </w:tcPr>
          <w:p w14:paraId="4295C41B">
            <w:pPr>
              <w:widowControl/>
              <w:jc w:val="left"/>
              <w:textAlignment w:val="center"/>
              <w:rPr>
                <w:rFonts w:hint="eastAsia" w:ascii="Times New Roman" w:hAnsi="Times New Roman" w:eastAsia="仿宋_GB2312" w:cs="Times New Roman"/>
                <w:i w:val="0"/>
                <w:color w:val="auto"/>
                <w:sz w:val="22"/>
                <w:szCs w:val="22"/>
              </w:rPr>
            </w:pPr>
            <w:r>
              <w:rPr>
                <w:rFonts w:hint="eastAsia" w:ascii="Times New Roman" w:hAnsi="Times New Roman" w:eastAsia="仿宋_GB2312" w:cs="Times New Roman"/>
                <w:i w:val="0"/>
                <w:color w:val="auto"/>
                <w:kern w:val="0"/>
                <w:sz w:val="22"/>
                <w:szCs w:val="22"/>
                <w:lang w:val="en-US" w:eastAsia="zh-CN" w:bidi="ar-SA"/>
              </w:rPr>
              <w:t>维修保养时无安全事故发生，否则扣2分</w:t>
            </w:r>
          </w:p>
        </w:tc>
        <w:tc>
          <w:tcPr>
            <w:tcW w:w="1035" w:type="dxa"/>
            <w:tcBorders>
              <w:top w:val="single" w:color="000000" w:sz="4" w:space="0"/>
              <w:left w:val="single" w:color="000000" w:sz="4" w:space="0"/>
              <w:bottom w:val="single" w:color="000000" w:sz="4" w:space="0"/>
              <w:right w:val="single" w:color="000000" w:sz="4" w:space="0"/>
            </w:tcBorders>
            <w:noWrap w:val="0"/>
            <w:vAlign w:val="center"/>
          </w:tcPr>
          <w:p w14:paraId="6CA49435">
            <w:pPr>
              <w:widowControl/>
              <w:jc w:val="center"/>
              <w:textAlignment w:val="center"/>
              <w:rPr>
                <w:rFonts w:hint="eastAsia" w:ascii="Times New Roman" w:hAnsi="Times New Roman" w:eastAsia="仿宋_GB2312" w:cs="Times New Roman"/>
                <w:i w:val="0"/>
                <w:color w:val="auto"/>
                <w:sz w:val="22"/>
                <w:szCs w:val="22"/>
              </w:rPr>
            </w:pPr>
            <w:r>
              <w:rPr>
                <w:rFonts w:hint="eastAsia" w:ascii="Times New Roman" w:hAnsi="Times New Roman" w:eastAsia="仿宋_GB2312" w:cs="Times New Roman"/>
                <w:i w:val="0"/>
                <w:color w:val="auto"/>
                <w:kern w:val="0"/>
                <w:sz w:val="22"/>
                <w:szCs w:val="22"/>
                <w:lang w:val="en-US" w:eastAsia="zh-CN" w:bidi="ar-SA"/>
              </w:rPr>
              <w:t>2</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14:paraId="7830D7E3">
            <w:pPr>
              <w:jc w:val="center"/>
              <w:rPr>
                <w:rFonts w:hint="eastAsia" w:ascii="Times New Roman" w:hAnsi="Times New Roman" w:eastAsia="仿宋_GB2312" w:cs="Times New Roman"/>
                <w:i w:val="0"/>
                <w:color w:val="auto"/>
                <w:sz w:val="22"/>
                <w:szCs w:val="22"/>
              </w:rPr>
            </w:pPr>
          </w:p>
        </w:tc>
        <w:tc>
          <w:tcPr>
            <w:tcW w:w="990" w:type="dxa"/>
            <w:tcBorders>
              <w:top w:val="single" w:color="000000" w:sz="4" w:space="0"/>
              <w:left w:val="single" w:color="000000" w:sz="4" w:space="0"/>
              <w:bottom w:val="single" w:color="000000" w:sz="4" w:space="0"/>
              <w:right w:val="single" w:color="000000" w:sz="4" w:space="0"/>
            </w:tcBorders>
            <w:noWrap w:val="0"/>
            <w:vAlign w:val="center"/>
          </w:tcPr>
          <w:p w14:paraId="5BC58E42">
            <w:pPr>
              <w:jc w:val="center"/>
              <w:rPr>
                <w:rFonts w:hint="eastAsia" w:ascii="Times New Roman" w:hAnsi="Times New Roman" w:eastAsia="仿宋_GB2312" w:cs="Times New Roman"/>
                <w:i w:val="0"/>
                <w:color w:val="auto"/>
                <w:sz w:val="22"/>
                <w:szCs w:val="22"/>
              </w:rPr>
            </w:pPr>
          </w:p>
        </w:tc>
      </w:tr>
      <w:tr w14:paraId="26F40D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1"/>
          <w:wAfter w:w="15" w:type="dxa"/>
          <w:trHeight w:val="720" w:hRule="atLeast"/>
        </w:trPr>
        <w:tc>
          <w:tcPr>
            <w:tcW w:w="720" w:type="dxa"/>
            <w:tcBorders>
              <w:top w:val="single" w:color="000000" w:sz="4" w:space="0"/>
              <w:left w:val="single" w:color="000000" w:sz="4" w:space="0"/>
              <w:bottom w:val="single" w:color="000000" w:sz="4" w:space="0"/>
              <w:right w:val="single" w:color="000000" w:sz="4" w:space="0"/>
            </w:tcBorders>
            <w:noWrap w:val="0"/>
            <w:vAlign w:val="center"/>
          </w:tcPr>
          <w:p w14:paraId="544D934F">
            <w:pPr>
              <w:widowControl/>
              <w:jc w:val="center"/>
              <w:textAlignment w:val="center"/>
              <w:rPr>
                <w:rFonts w:hint="eastAsia" w:ascii="Times New Roman" w:hAnsi="Times New Roman" w:eastAsia="仿宋_GB2312" w:cs="Times New Roman"/>
                <w:i w:val="0"/>
                <w:color w:val="auto"/>
                <w:sz w:val="22"/>
                <w:szCs w:val="22"/>
              </w:rPr>
            </w:pPr>
            <w:r>
              <w:rPr>
                <w:rFonts w:hint="eastAsia" w:ascii="Times New Roman" w:hAnsi="Times New Roman" w:eastAsia="仿宋_GB2312" w:cs="Times New Roman"/>
                <w:i w:val="0"/>
                <w:color w:val="auto"/>
                <w:kern w:val="0"/>
                <w:sz w:val="22"/>
                <w:szCs w:val="22"/>
                <w:lang w:val="en-US" w:eastAsia="zh-CN" w:bidi="ar-SA"/>
              </w:rPr>
              <w:t>2</w:t>
            </w:r>
          </w:p>
        </w:tc>
        <w:tc>
          <w:tcPr>
            <w:tcW w:w="1581" w:type="dxa"/>
            <w:gridSpan w:val="3"/>
            <w:tcBorders>
              <w:top w:val="single" w:color="000000" w:sz="4" w:space="0"/>
              <w:left w:val="single" w:color="000000" w:sz="4" w:space="0"/>
              <w:bottom w:val="single" w:color="000000" w:sz="4" w:space="0"/>
              <w:right w:val="single" w:color="000000" w:sz="4" w:space="0"/>
            </w:tcBorders>
            <w:noWrap w:val="0"/>
            <w:vAlign w:val="center"/>
          </w:tcPr>
          <w:p w14:paraId="0C1E93E3">
            <w:pPr>
              <w:widowControl/>
              <w:jc w:val="center"/>
              <w:textAlignment w:val="center"/>
              <w:rPr>
                <w:rFonts w:hint="eastAsia" w:ascii="Times New Roman" w:hAnsi="Times New Roman" w:eastAsia="仿宋_GB2312" w:cs="Times New Roman"/>
                <w:i w:val="0"/>
                <w:color w:val="auto"/>
                <w:sz w:val="22"/>
                <w:szCs w:val="22"/>
              </w:rPr>
            </w:pPr>
            <w:r>
              <w:rPr>
                <w:rFonts w:hint="eastAsia" w:ascii="Times New Roman" w:hAnsi="Times New Roman" w:eastAsia="仿宋_GB2312" w:cs="Times New Roman"/>
                <w:i w:val="0"/>
                <w:color w:val="auto"/>
                <w:kern w:val="0"/>
                <w:sz w:val="22"/>
                <w:szCs w:val="22"/>
                <w:lang w:val="en-US" w:eastAsia="zh-CN" w:bidi="ar-SA"/>
              </w:rPr>
              <w:t>安全检查</w:t>
            </w:r>
          </w:p>
        </w:tc>
        <w:tc>
          <w:tcPr>
            <w:tcW w:w="3675" w:type="dxa"/>
            <w:tcBorders>
              <w:top w:val="single" w:color="000000" w:sz="4" w:space="0"/>
              <w:left w:val="single" w:color="000000" w:sz="4" w:space="0"/>
              <w:right w:val="single" w:color="000000" w:sz="4" w:space="0"/>
            </w:tcBorders>
            <w:noWrap w:val="0"/>
            <w:vAlign w:val="center"/>
          </w:tcPr>
          <w:p w14:paraId="10C31C3B">
            <w:pPr>
              <w:widowControl/>
              <w:jc w:val="left"/>
              <w:textAlignment w:val="center"/>
              <w:rPr>
                <w:rFonts w:hint="eastAsia" w:ascii="Times New Roman" w:hAnsi="Times New Roman" w:eastAsia="仿宋_GB2312" w:cs="Times New Roman"/>
                <w:i w:val="0"/>
                <w:color w:val="auto"/>
                <w:sz w:val="22"/>
                <w:szCs w:val="22"/>
              </w:rPr>
            </w:pPr>
            <w:r>
              <w:rPr>
                <w:rFonts w:hint="eastAsia" w:ascii="Times New Roman" w:hAnsi="Times New Roman" w:eastAsia="仿宋_GB2312" w:cs="Times New Roman"/>
                <w:i w:val="0"/>
                <w:color w:val="auto"/>
                <w:kern w:val="0"/>
                <w:sz w:val="22"/>
                <w:szCs w:val="22"/>
                <w:lang w:val="en-US" w:eastAsia="zh-CN" w:bidi="ar-SA"/>
              </w:rPr>
              <w:t>是否应甲方需要配合进行消防安全检查，否则扣1分</w:t>
            </w:r>
          </w:p>
        </w:tc>
        <w:tc>
          <w:tcPr>
            <w:tcW w:w="1035" w:type="dxa"/>
            <w:tcBorders>
              <w:top w:val="single" w:color="000000" w:sz="4" w:space="0"/>
              <w:left w:val="single" w:color="000000" w:sz="4" w:space="0"/>
              <w:bottom w:val="single" w:color="000000" w:sz="4" w:space="0"/>
              <w:right w:val="single" w:color="000000" w:sz="4" w:space="0"/>
            </w:tcBorders>
            <w:noWrap w:val="0"/>
            <w:vAlign w:val="center"/>
          </w:tcPr>
          <w:p w14:paraId="47DCDD77">
            <w:pPr>
              <w:widowControl/>
              <w:jc w:val="center"/>
              <w:textAlignment w:val="center"/>
              <w:rPr>
                <w:rFonts w:hint="eastAsia" w:ascii="Times New Roman" w:hAnsi="Times New Roman" w:eastAsia="仿宋_GB2312" w:cs="Times New Roman"/>
                <w:i w:val="0"/>
                <w:color w:val="auto"/>
                <w:sz w:val="22"/>
                <w:szCs w:val="22"/>
              </w:rPr>
            </w:pPr>
            <w:r>
              <w:rPr>
                <w:rFonts w:hint="eastAsia" w:ascii="Times New Roman" w:hAnsi="Times New Roman" w:eastAsia="仿宋_GB2312" w:cs="Times New Roman"/>
                <w:i w:val="0"/>
                <w:color w:val="auto"/>
                <w:kern w:val="0"/>
                <w:sz w:val="22"/>
                <w:szCs w:val="22"/>
                <w:lang w:val="en-US" w:eastAsia="zh-CN" w:bidi="ar-SA"/>
              </w:rPr>
              <w:t>1</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14:paraId="53600F09">
            <w:pPr>
              <w:jc w:val="center"/>
              <w:rPr>
                <w:rFonts w:hint="eastAsia" w:ascii="Times New Roman" w:hAnsi="Times New Roman" w:eastAsia="仿宋_GB2312" w:cs="Times New Roman"/>
                <w:i w:val="0"/>
                <w:color w:val="auto"/>
                <w:sz w:val="22"/>
                <w:szCs w:val="22"/>
              </w:rPr>
            </w:pPr>
          </w:p>
        </w:tc>
        <w:tc>
          <w:tcPr>
            <w:tcW w:w="990" w:type="dxa"/>
            <w:tcBorders>
              <w:top w:val="single" w:color="000000" w:sz="4" w:space="0"/>
              <w:left w:val="single" w:color="000000" w:sz="4" w:space="0"/>
              <w:bottom w:val="single" w:color="000000" w:sz="4" w:space="0"/>
              <w:right w:val="single" w:color="000000" w:sz="4" w:space="0"/>
            </w:tcBorders>
            <w:noWrap w:val="0"/>
            <w:vAlign w:val="center"/>
          </w:tcPr>
          <w:p w14:paraId="08BADEE5">
            <w:pPr>
              <w:jc w:val="center"/>
              <w:rPr>
                <w:rFonts w:hint="eastAsia" w:ascii="Times New Roman" w:hAnsi="Times New Roman" w:eastAsia="仿宋_GB2312" w:cs="Times New Roman"/>
                <w:i w:val="0"/>
                <w:color w:val="auto"/>
                <w:sz w:val="22"/>
                <w:szCs w:val="22"/>
              </w:rPr>
            </w:pPr>
          </w:p>
        </w:tc>
      </w:tr>
      <w:tr w14:paraId="30F5EA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1"/>
          <w:wAfter w:w="15" w:type="dxa"/>
          <w:trHeight w:val="720" w:hRule="atLeast"/>
        </w:trPr>
        <w:tc>
          <w:tcPr>
            <w:tcW w:w="720" w:type="dxa"/>
            <w:tcBorders>
              <w:top w:val="single" w:color="000000" w:sz="4" w:space="0"/>
              <w:left w:val="single" w:color="000000" w:sz="4" w:space="0"/>
              <w:right w:val="single" w:color="000000" w:sz="4" w:space="0"/>
            </w:tcBorders>
            <w:noWrap w:val="0"/>
            <w:vAlign w:val="center"/>
          </w:tcPr>
          <w:p w14:paraId="3CA3B286">
            <w:pPr>
              <w:widowControl/>
              <w:jc w:val="center"/>
              <w:textAlignment w:val="center"/>
              <w:rPr>
                <w:rFonts w:hint="eastAsia" w:ascii="Times New Roman" w:hAnsi="Times New Roman" w:eastAsia="仿宋_GB2312" w:cs="Times New Roman"/>
                <w:i w:val="0"/>
                <w:color w:val="auto"/>
                <w:sz w:val="22"/>
                <w:szCs w:val="22"/>
              </w:rPr>
            </w:pPr>
            <w:r>
              <w:rPr>
                <w:rFonts w:hint="eastAsia" w:ascii="Times New Roman" w:hAnsi="Times New Roman" w:eastAsia="仿宋_GB2312" w:cs="Times New Roman"/>
                <w:i w:val="0"/>
                <w:color w:val="auto"/>
                <w:kern w:val="0"/>
                <w:sz w:val="22"/>
                <w:szCs w:val="22"/>
                <w:lang w:val="en-US" w:eastAsia="zh-CN" w:bidi="ar-SA"/>
              </w:rPr>
              <w:t>3</w:t>
            </w:r>
          </w:p>
        </w:tc>
        <w:tc>
          <w:tcPr>
            <w:tcW w:w="1581" w:type="dxa"/>
            <w:gridSpan w:val="3"/>
            <w:tcBorders>
              <w:top w:val="single" w:color="000000" w:sz="4" w:space="0"/>
              <w:left w:val="single" w:color="000000" w:sz="4" w:space="0"/>
              <w:right w:val="single" w:color="000000" w:sz="4" w:space="0"/>
            </w:tcBorders>
            <w:noWrap w:val="0"/>
            <w:vAlign w:val="center"/>
          </w:tcPr>
          <w:p w14:paraId="234FB2A9">
            <w:pPr>
              <w:widowControl/>
              <w:jc w:val="center"/>
              <w:textAlignment w:val="center"/>
              <w:rPr>
                <w:rFonts w:hint="eastAsia" w:ascii="Times New Roman" w:hAnsi="Times New Roman" w:eastAsia="仿宋_GB2312" w:cs="Times New Roman"/>
                <w:i w:val="0"/>
                <w:color w:val="auto"/>
                <w:sz w:val="22"/>
                <w:szCs w:val="22"/>
              </w:rPr>
            </w:pPr>
            <w:r>
              <w:rPr>
                <w:rFonts w:hint="eastAsia" w:ascii="Times New Roman" w:hAnsi="Times New Roman" w:eastAsia="仿宋_GB2312" w:cs="Times New Roman"/>
                <w:i w:val="0"/>
                <w:color w:val="auto"/>
                <w:kern w:val="0"/>
                <w:sz w:val="22"/>
                <w:szCs w:val="22"/>
                <w:lang w:val="en-US" w:eastAsia="zh-CN" w:bidi="ar-SA"/>
              </w:rPr>
              <w:t>消防演习</w:t>
            </w:r>
          </w:p>
        </w:tc>
        <w:tc>
          <w:tcPr>
            <w:tcW w:w="3675" w:type="dxa"/>
            <w:tcBorders>
              <w:top w:val="single" w:color="000000" w:sz="4" w:space="0"/>
              <w:left w:val="single" w:color="000000" w:sz="4" w:space="0"/>
              <w:right w:val="single" w:color="000000" w:sz="4" w:space="0"/>
            </w:tcBorders>
            <w:noWrap w:val="0"/>
            <w:vAlign w:val="center"/>
          </w:tcPr>
          <w:p w14:paraId="7F5A6CE7">
            <w:pPr>
              <w:widowControl/>
              <w:jc w:val="left"/>
              <w:textAlignment w:val="center"/>
              <w:rPr>
                <w:rFonts w:hint="eastAsia" w:ascii="Times New Roman" w:hAnsi="Times New Roman" w:eastAsia="仿宋_GB2312" w:cs="Times New Roman"/>
                <w:i w:val="0"/>
                <w:color w:val="auto"/>
                <w:sz w:val="22"/>
                <w:szCs w:val="22"/>
              </w:rPr>
            </w:pPr>
            <w:r>
              <w:rPr>
                <w:rFonts w:hint="eastAsia" w:ascii="Times New Roman" w:hAnsi="Times New Roman" w:eastAsia="仿宋_GB2312" w:cs="Times New Roman"/>
                <w:i w:val="0"/>
                <w:color w:val="auto"/>
                <w:kern w:val="0"/>
                <w:sz w:val="22"/>
                <w:szCs w:val="22"/>
                <w:lang w:val="en-US" w:eastAsia="zh-CN" w:bidi="ar-SA"/>
              </w:rPr>
              <w:t>是否配合甲方进行消防演习，否则扣1分</w:t>
            </w:r>
          </w:p>
        </w:tc>
        <w:tc>
          <w:tcPr>
            <w:tcW w:w="1035" w:type="dxa"/>
            <w:tcBorders>
              <w:top w:val="single" w:color="000000" w:sz="4" w:space="0"/>
              <w:left w:val="single" w:color="000000" w:sz="4" w:space="0"/>
              <w:right w:val="single" w:color="000000" w:sz="4" w:space="0"/>
            </w:tcBorders>
            <w:noWrap w:val="0"/>
            <w:vAlign w:val="center"/>
          </w:tcPr>
          <w:p w14:paraId="09367E11">
            <w:pPr>
              <w:widowControl/>
              <w:jc w:val="center"/>
              <w:textAlignment w:val="center"/>
              <w:rPr>
                <w:rFonts w:hint="eastAsia" w:ascii="Times New Roman" w:hAnsi="Times New Roman" w:eastAsia="仿宋_GB2312" w:cs="Times New Roman"/>
                <w:i w:val="0"/>
                <w:color w:val="auto"/>
                <w:sz w:val="22"/>
                <w:szCs w:val="22"/>
              </w:rPr>
            </w:pPr>
            <w:r>
              <w:rPr>
                <w:rFonts w:hint="eastAsia" w:ascii="Times New Roman" w:hAnsi="Times New Roman" w:eastAsia="仿宋_GB2312" w:cs="Times New Roman"/>
                <w:i w:val="0"/>
                <w:color w:val="auto"/>
                <w:kern w:val="0"/>
                <w:sz w:val="22"/>
                <w:szCs w:val="22"/>
                <w:lang w:val="en-US" w:eastAsia="zh-CN" w:bidi="ar-SA"/>
              </w:rPr>
              <w:t>1</w:t>
            </w:r>
          </w:p>
        </w:tc>
        <w:tc>
          <w:tcPr>
            <w:tcW w:w="930" w:type="dxa"/>
            <w:tcBorders>
              <w:top w:val="single" w:color="000000" w:sz="4" w:space="0"/>
              <w:left w:val="single" w:color="000000" w:sz="4" w:space="0"/>
              <w:right w:val="single" w:color="000000" w:sz="4" w:space="0"/>
            </w:tcBorders>
            <w:noWrap w:val="0"/>
            <w:vAlign w:val="center"/>
          </w:tcPr>
          <w:p w14:paraId="27B57994">
            <w:pPr>
              <w:jc w:val="center"/>
              <w:rPr>
                <w:rFonts w:hint="eastAsia" w:ascii="Times New Roman" w:hAnsi="Times New Roman" w:eastAsia="仿宋_GB2312" w:cs="Times New Roman"/>
                <w:i w:val="0"/>
                <w:color w:val="auto"/>
                <w:sz w:val="22"/>
                <w:szCs w:val="22"/>
              </w:rPr>
            </w:pPr>
          </w:p>
        </w:tc>
        <w:tc>
          <w:tcPr>
            <w:tcW w:w="990" w:type="dxa"/>
            <w:tcBorders>
              <w:top w:val="single" w:color="000000" w:sz="4" w:space="0"/>
              <w:left w:val="single" w:color="000000" w:sz="4" w:space="0"/>
              <w:right w:val="single" w:color="000000" w:sz="4" w:space="0"/>
            </w:tcBorders>
            <w:noWrap w:val="0"/>
            <w:vAlign w:val="center"/>
          </w:tcPr>
          <w:p w14:paraId="082B63E1">
            <w:pPr>
              <w:jc w:val="center"/>
              <w:rPr>
                <w:rFonts w:hint="eastAsia" w:ascii="Times New Roman" w:hAnsi="Times New Roman" w:eastAsia="仿宋_GB2312" w:cs="Times New Roman"/>
                <w:i w:val="0"/>
                <w:color w:val="auto"/>
                <w:sz w:val="22"/>
                <w:szCs w:val="22"/>
              </w:rPr>
            </w:pPr>
          </w:p>
        </w:tc>
      </w:tr>
      <w:tr w14:paraId="4D7DDD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1"/>
          <w:wAfter w:w="15" w:type="dxa"/>
          <w:trHeight w:val="630" w:hRule="atLeast"/>
        </w:trPr>
        <w:tc>
          <w:tcPr>
            <w:tcW w:w="8931" w:type="dxa"/>
            <w:gridSpan w:val="8"/>
            <w:tcBorders>
              <w:top w:val="single" w:color="000000" w:sz="4" w:space="0"/>
              <w:left w:val="single" w:color="000000" w:sz="4" w:space="0"/>
              <w:bottom w:val="single" w:color="000000" w:sz="4" w:space="0"/>
              <w:right w:val="single" w:color="000000" w:sz="4" w:space="0"/>
            </w:tcBorders>
            <w:noWrap w:val="0"/>
            <w:vAlign w:val="top"/>
          </w:tcPr>
          <w:p w14:paraId="64FF74E4">
            <w:pPr>
              <w:widowControl/>
              <w:jc w:val="left"/>
              <w:textAlignment w:val="top"/>
              <w:rPr>
                <w:rFonts w:hint="eastAsia" w:ascii="Times New Roman" w:hAnsi="Times New Roman" w:eastAsia="仿宋_GB2312" w:cs="Times New Roman"/>
                <w:i w:val="0"/>
                <w:color w:val="auto"/>
                <w:sz w:val="22"/>
                <w:szCs w:val="22"/>
              </w:rPr>
            </w:pPr>
            <w:r>
              <w:rPr>
                <w:rFonts w:hint="eastAsia" w:ascii="Times New Roman" w:hAnsi="Times New Roman" w:eastAsia="仿宋_GB2312" w:cs="Times New Roman"/>
                <w:i w:val="0"/>
                <w:color w:val="auto"/>
                <w:kern w:val="0"/>
                <w:sz w:val="22"/>
                <w:szCs w:val="22"/>
                <w:lang w:val="en-US" w:eastAsia="zh-CN" w:bidi="ar-SA"/>
              </w:rPr>
              <w:t>六、总分：</w:t>
            </w:r>
          </w:p>
        </w:tc>
      </w:tr>
    </w:tbl>
    <w:p w14:paraId="1A225317">
      <w:pPr>
        <w:pStyle w:val="2"/>
        <w:rPr>
          <w:rFonts w:hint="eastAsia" w:ascii="Times New Roman" w:hAnsi="Times New Roman" w:eastAsia="仿宋_GB2312" w:cs="Times New Roman"/>
          <w:color w:val="auto"/>
          <w:lang w:val="en-US" w:eastAsia="zh-CN"/>
        </w:rPr>
      </w:pPr>
    </w:p>
    <w:p w14:paraId="7897094E">
      <w:pPr>
        <w:pStyle w:val="2"/>
        <w:rPr>
          <w:rFonts w:hint="eastAsia" w:ascii="Times New Roman" w:hAnsi="Times New Roman" w:eastAsia="仿宋_GB2312" w:cs="Times New Roman"/>
          <w:color w:val="auto"/>
          <w:lang w:val="en-US" w:eastAsia="zh-CN"/>
        </w:rPr>
      </w:pPr>
    </w:p>
    <w:p w14:paraId="43E60729">
      <w:pPr>
        <w:pStyle w:val="2"/>
        <w:rPr>
          <w:rFonts w:hint="eastAsia" w:ascii="Times New Roman" w:hAnsi="Times New Roman" w:eastAsia="仿宋_GB2312" w:cs="Times New Roman"/>
          <w:color w:val="auto"/>
          <w:lang w:val="en-US" w:eastAsia="zh-CN"/>
        </w:rPr>
      </w:pPr>
    </w:p>
    <w:p w14:paraId="60EF8199">
      <w:pPr>
        <w:pStyle w:val="2"/>
        <w:rPr>
          <w:rFonts w:hint="eastAsia" w:ascii="Times New Roman" w:hAnsi="Times New Roman" w:cs="Times New Roman"/>
          <w:color w:val="auto"/>
          <w:lang w:val="en-US" w:eastAsia="zh-CN"/>
        </w:rPr>
      </w:pPr>
    </w:p>
    <w:p w14:paraId="0E9B2749">
      <w:pPr>
        <w:pStyle w:val="2"/>
        <w:rPr>
          <w:rFonts w:hint="eastAsia" w:ascii="Times New Roman" w:hAnsi="Times New Roman" w:eastAsia="黑体" w:cs="Times New Roman"/>
          <w:color w:val="auto"/>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2"/>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E6791C">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30C201D">
                          <w:pPr>
                            <w:pStyle w:val="4"/>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530C201D">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38338C1"/>
    <w:multiLevelType w:val="multilevel"/>
    <w:tmpl w:val="138338C1"/>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4E114B33"/>
    <w:multiLevelType w:val="singleLevel"/>
    <w:tmpl w:val="4E114B33"/>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Q3ODgxN2MyMDBlOWM0ODhmNTc4ZDE4ZjU3ODM5MzUifQ=="/>
  </w:docVars>
  <w:rsids>
    <w:rsidRoot w:val="47937B9D"/>
    <w:rsid w:val="03B3789A"/>
    <w:rsid w:val="09432B2C"/>
    <w:rsid w:val="1C224663"/>
    <w:rsid w:val="1C270752"/>
    <w:rsid w:val="221D0933"/>
    <w:rsid w:val="25E60976"/>
    <w:rsid w:val="2643139B"/>
    <w:rsid w:val="26FB6D57"/>
    <w:rsid w:val="27C73E2A"/>
    <w:rsid w:val="28351691"/>
    <w:rsid w:val="2CB80C0E"/>
    <w:rsid w:val="2F404DD6"/>
    <w:rsid w:val="3A0B4AF4"/>
    <w:rsid w:val="40DE676F"/>
    <w:rsid w:val="410F691C"/>
    <w:rsid w:val="44237F08"/>
    <w:rsid w:val="47937B9D"/>
    <w:rsid w:val="4BBF2155"/>
    <w:rsid w:val="4F6472FD"/>
    <w:rsid w:val="52275D22"/>
    <w:rsid w:val="53191F6F"/>
    <w:rsid w:val="58AB48EC"/>
    <w:rsid w:val="5C580FFD"/>
    <w:rsid w:val="612A6751"/>
    <w:rsid w:val="667C153E"/>
    <w:rsid w:val="6DF752BA"/>
    <w:rsid w:val="781F4CEB"/>
    <w:rsid w:val="7BEE79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jc w:val="left"/>
    </w:pPr>
    <w:rPr>
      <w:rFonts w:ascii="Arial" w:hAnsi="Arial" w:eastAsia="黑体"/>
      <w:b/>
      <w:sz w:val="32"/>
      <w:szCs w:val="20"/>
    </w:rPr>
  </w:style>
  <w:style w:type="paragraph" w:styleId="3">
    <w:name w:val="annotation text"/>
    <w:basedOn w:val="1"/>
    <w:qFormat/>
    <w:uiPriority w:val="0"/>
    <w:pPr>
      <w:jc w:val="left"/>
    </w:pPr>
  </w:style>
  <w:style w:type="paragraph" w:styleId="4">
    <w:name w:val="footer"/>
    <w:basedOn w:val="1"/>
    <w:autoRedefine/>
    <w:qFormat/>
    <w:uiPriority w:val="99"/>
    <w:pPr>
      <w:tabs>
        <w:tab w:val="center" w:pos="4153"/>
        <w:tab w:val="right" w:pos="8306"/>
      </w:tabs>
      <w:snapToGrid w:val="0"/>
      <w:jc w:val="left"/>
    </w:pPr>
    <w:rPr>
      <w:kern w:val="2"/>
      <w:sz w:val="18"/>
      <w:szCs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Hyperlink"/>
    <w:basedOn w:val="7"/>
    <w:qFormat/>
    <w:uiPriority w:val="0"/>
    <w:rPr>
      <w:color w:val="0000FF"/>
      <w:u w:val="single"/>
    </w:rPr>
  </w:style>
  <w:style w:type="paragraph" w:customStyle="1" w:styleId="9">
    <w:name w:val="Table Paragraph"/>
    <w:basedOn w:val="1"/>
    <w:autoRedefine/>
    <w:qFormat/>
    <w:uiPriority w:val="1"/>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18</Pages>
  <Words>8721</Words>
  <Characters>9029</Characters>
  <Lines>0</Lines>
  <Paragraphs>0</Paragraphs>
  <TotalTime>0</TotalTime>
  <ScaleCrop>false</ScaleCrop>
  <LinksUpToDate>false</LinksUpToDate>
  <CharactersWithSpaces>9031</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2023-12-08T09:01:00Z</dcterms:created>
  <dc:creator>韩韬</dc:creator>
  <cp:lastModifiedBy>高杨</cp:lastModifiedBy>
  <cp:lastPrinted>2023-12-13T00:50:00Z</cp:lastPrinted>
  <dcterms:modified xsi:type="dcterms:W3CDTF">2025-03-11T08:09:37Z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916092459CB04B62ACF64011A5F929EC_13</vt:lpwstr>
  </property>
  <property fmtid="{D5CDD505-2E9C-101B-9397-08002B2CF9AE}" pid="4" name="KSOTemplateDocerSaveRecord">
    <vt:lpwstr>eyJoZGlkIjoiMjU5NzRhZDBkZDkwNDZlZDExYzFkOTc4ZWIwMjc2MDAiLCJ1c2VySWQiOiI0OTQ3NTI0ODcifQ==</vt:lpwstr>
  </property>
</Properties>
</file>