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171133">
      <w:pPr>
        <w:spacing w:line="360" w:lineRule="auto"/>
        <w:ind w:firstLine="3200" w:firstLineChars="1000"/>
        <w:rPr>
          <w:rFonts w:hint="eastAsia" w:eastAsia="宋体"/>
          <w:b/>
          <w:sz w:val="28"/>
          <w:szCs w:val="28"/>
          <w:lang w:eastAsia="zh-CN"/>
        </w:rPr>
      </w:pPr>
      <w:r>
        <w:rPr>
          <w:rFonts w:hint="eastAsia"/>
          <w:sz w:val="32"/>
          <w:szCs w:val="32"/>
          <w:lang w:val="en-US" w:eastAsia="zh-CN"/>
        </w:rPr>
        <w:t>一、</w:t>
      </w:r>
      <w:r>
        <w:rPr>
          <w:rFonts w:hint="eastAsia"/>
          <w:b/>
          <w:sz w:val="28"/>
          <w:szCs w:val="28"/>
          <w:lang w:val="en-US" w:eastAsia="zh-CN"/>
        </w:rPr>
        <w:t>技术参数</w:t>
      </w:r>
    </w:p>
    <w:p w14:paraId="5EA02A9F">
      <w:pPr>
        <w:spacing w:line="360" w:lineRule="auto"/>
        <w:rPr>
          <w:rFonts w:ascii="宋体" w:hAnsi="宋体" w:cs="宋体"/>
          <w:sz w:val="24"/>
        </w:rPr>
      </w:pPr>
      <w:r>
        <w:rPr>
          <w:rFonts w:hint="eastAsia" w:ascii="宋体" w:hAnsi="宋体" w:cs="宋体"/>
          <w:sz w:val="24"/>
        </w:rPr>
        <w:t>1、目镜符合ISO标准；</w:t>
      </w:r>
    </w:p>
    <w:p w14:paraId="6FEFE5C9">
      <w:pPr>
        <w:spacing w:line="360" w:lineRule="auto"/>
        <w:rPr>
          <w:rFonts w:hint="eastAsia" w:ascii="宋体" w:hAnsi="宋体" w:eastAsia="宋体" w:cs="宋体"/>
          <w:sz w:val="24"/>
        </w:rPr>
      </w:pPr>
      <w:r>
        <w:rPr>
          <w:rFonts w:hint="eastAsia" w:ascii="宋体" w:hAnsi="宋体" w:eastAsia="宋体" w:cs="宋体"/>
          <w:sz w:val="24"/>
        </w:rPr>
        <w:t>2、出水入水阀门开关整体金属设计、易清洗、防掉落；</w:t>
      </w:r>
    </w:p>
    <w:p w14:paraId="51641D3D">
      <w:pPr>
        <w:spacing w:line="360" w:lineRule="auto"/>
        <w:rPr>
          <w:rFonts w:ascii="宋体" w:hAnsi="宋体" w:cs="宋体"/>
          <w:sz w:val="24"/>
        </w:rPr>
      </w:pPr>
      <w:r>
        <w:rPr>
          <w:rFonts w:hint="eastAsia" w:ascii="宋体" w:hAnsi="宋体" w:eastAsia="宋体" w:cs="宋体"/>
          <w:sz w:val="24"/>
        </w:rPr>
        <w:t>3、圆柱形镜体</w:t>
      </w:r>
      <w:r>
        <w:rPr>
          <w:rFonts w:hint="eastAsia" w:ascii="宋体" w:hAnsi="宋体" w:cs="宋体"/>
          <w:sz w:val="24"/>
        </w:rPr>
        <w:t>逐渐变细，内窥镜前端防损伤设计；</w:t>
      </w:r>
    </w:p>
    <w:p w14:paraId="5A23D070">
      <w:pPr>
        <w:spacing w:line="360" w:lineRule="auto"/>
        <w:rPr>
          <w:rFonts w:ascii="宋体" w:hAnsi="宋体" w:cs="宋体"/>
          <w:b/>
          <w:bCs/>
          <w:sz w:val="24"/>
        </w:rPr>
      </w:pPr>
      <w:r>
        <w:rPr>
          <w:rFonts w:hint="eastAsia" w:ascii="宋体" w:hAnsi="宋体" w:cs="宋体"/>
          <w:sz w:val="24"/>
          <w:szCs w:val="24"/>
        </w:rPr>
        <w:t>★</w:t>
      </w:r>
      <w:r>
        <w:rPr>
          <w:rFonts w:hint="eastAsia" w:ascii="宋体" w:hAnsi="宋体" w:cs="宋体"/>
          <w:b/>
          <w:bCs/>
          <w:sz w:val="24"/>
        </w:rPr>
        <w:t>4、视向角：0°，视场角≥70°，工作通道≥5.4Fr. ,工作长度≥425mm</w:t>
      </w:r>
    </w:p>
    <w:p w14:paraId="6F3B21B3">
      <w:pPr>
        <w:spacing w:line="360" w:lineRule="auto"/>
        <w:rPr>
          <w:rFonts w:ascii="宋体" w:hAnsi="宋体"/>
          <w:b/>
          <w:bCs/>
          <w:sz w:val="24"/>
        </w:rPr>
      </w:pPr>
      <w:r>
        <w:rPr>
          <w:rFonts w:hint="eastAsia" w:ascii="宋体" w:hAnsi="宋体" w:cs="宋体"/>
          <w:b/>
          <w:bCs/>
          <w:sz w:val="24"/>
        </w:rPr>
        <w:t>★5、镜体末段外径7.5Fr；</w:t>
      </w:r>
    </w:p>
    <w:p w14:paraId="33181EDC">
      <w:pPr>
        <w:spacing w:line="360" w:lineRule="auto"/>
        <w:rPr>
          <w:rFonts w:ascii="宋体" w:hAnsi="宋体"/>
          <w:sz w:val="24"/>
        </w:rPr>
      </w:pPr>
      <w:r>
        <w:rPr>
          <w:rFonts w:hint="eastAsia" w:ascii="宋体" w:hAnsi="宋体" w:cs="宋体"/>
          <w:sz w:val="24"/>
        </w:rPr>
        <w:t>6、景深范围3～20mm；</w:t>
      </w:r>
      <w:r>
        <w:rPr>
          <w:rFonts w:hint="eastAsia" w:ascii="宋体" w:hAnsi="宋体"/>
          <w:sz w:val="24"/>
        </w:rPr>
        <w:t>视场中心角分辨力：0.547C/°；</w:t>
      </w:r>
    </w:p>
    <w:p w14:paraId="1A8AD36E">
      <w:pPr>
        <w:spacing w:line="360" w:lineRule="auto"/>
        <w:rPr>
          <w:rFonts w:hint="eastAsia" w:ascii="宋体" w:hAnsi="宋体" w:eastAsia="宋体" w:cs="宋体"/>
          <w:sz w:val="24"/>
        </w:rPr>
      </w:pPr>
      <w:r>
        <w:rPr>
          <w:rFonts w:hint="eastAsia" w:ascii="宋体" w:hAnsi="宋体" w:eastAsia="宋体" w:cs="宋体"/>
          <w:sz w:val="24"/>
        </w:rPr>
        <w:t>7、照度：≥2000 lx（工作距离10mm）；</w:t>
      </w:r>
    </w:p>
    <w:p w14:paraId="0FA07936">
      <w:pPr>
        <w:spacing w:line="360" w:lineRule="auto"/>
        <w:rPr>
          <w:rFonts w:hint="eastAsia" w:ascii="宋体" w:hAnsi="宋体" w:eastAsia="宋体" w:cs="宋体"/>
          <w:sz w:val="24"/>
        </w:rPr>
      </w:pPr>
      <w:r>
        <w:rPr>
          <w:rFonts w:hint="eastAsia" w:ascii="宋体" w:hAnsi="宋体" w:eastAsia="宋体" w:cs="宋体"/>
          <w:sz w:val="24"/>
          <w:lang w:val="en-US"/>
        </w:rPr>
        <w:t>8、</w:t>
      </w:r>
      <w:r>
        <w:rPr>
          <w:rFonts w:hint="eastAsia" w:ascii="宋体" w:hAnsi="宋体" w:eastAsia="宋体" w:cs="宋体"/>
          <w:sz w:val="24"/>
        </w:rPr>
        <w:t>镜内允许镜体微曲，图像无扭曲，平面图像；</w:t>
      </w:r>
    </w:p>
    <w:p w14:paraId="19ECB3CE">
      <w:pPr>
        <w:pStyle w:val="3"/>
        <w:ind w:left="480" w:hanging="480"/>
        <w:rPr>
          <w:rFonts w:ascii="宋体" w:hAnsi="宋体"/>
          <w:sz w:val="24"/>
          <w:szCs w:val="24"/>
        </w:rPr>
      </w:pPr>
    </w:p>
    <w:p w14:paraId="19B00C27">
      <w:pPr>
        <w:pStyle w:val="7"/>
        <w:widowControl/>
        <w:spacing w:before="156" w:after="156"/>
        <w:jc w:val="center"/>
        <w:rPr>
          <w:rStyle w:val="8"/>
          <w:rFonts w:ascii="宋体" w:hAnsi="宋体"/>
          <w:color w:val="000000"/>
          <w:kern w:val="0"/>
          <w:sz w:val="32"/>
          <w:szCs w:val="32"/>
        </w:rPr>
      </w:pPr>
      <w:r>
        <w:rPr>
          <w:rStyle w:val="8"/>
          <w:rFonts w:ascii="宋体" w:hAnsi="宋体"/>
          <w:color w:val="000000"/>
          <w:kern w:val="0"/>
          <w:sz w:val="32"/>
          <w:szCs w:val="32"/>
        </w:rPr>
        <w:t>产品配置单</w:t>
      </w:r>
    </w:p>
    <w:tbl>
      <w:tblPr>
        <w:tblStyle w:val="5"/>
        <w:tblW w:w="873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30" w:type="dxa"/>
          <w:bottom w:w="0" w:type="dxa"/>
          <w:right w:w="30" w:type="dxa"/>
        </w:tblCellMar>
      </w:tblPr>
      <w:tblGrid>
        <w:gridCol w:w="759"/>
        <w:gridCol w:w="2855"/>
        <w:gridCol w:w="2637"/>
        <w:gridCol w:w="1521"/>
        <w:gridCol w:w="958"/>
      </w:tblGrid>
      <w:tr w14:paraId="6E56C18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30" w:type="dxa"/>
            <w:bottom w:w="0" w:type="dxa"/>
            <w:right w:w="30" w:type="dxa"/>
          </w:tblCellMar>
        </w:tblPrEx>
        <w:trPr>
          <w:trHeight w:val="998" w:hRule="exact"/>
          <w:jc w:val="center"/>
        </w:trPr>
        <w:tc>
          <w:tcPr>
            <w:tcW w:w="8730" w:type="dxa"/>
            <w:gridSpan w:val="5"/>
            <w:tcBorders>
              <w:top w:val="single" w:color="000000" w:sz="12" w:space="0"/>
              <w:left w:val="single" w:color="000000" w:sz="12" w:space="0"/>
              <w:bottom w:val="single" w:color="000000" w:sz="4" w:space="0"/>
              <w:right w:val="single" w:color="000000" w:sz="12" w:space="0"/>
            </w:tcBorders>
            <w:noWrap w:val="0"/>
            <w:vAlign w:val="center"/>
          </w:tcPr>
          <w:p w14:paraId="12891C01">
            <w:pPr>
              <w:textAlignment w:val="baseline"/>
              <w:rPr>
                <w:rStyle w:val="8"/>
                <w:rFonts w:ascii="宋体" w:hAnsi="宋体"/>
                <w:color w:val="000000"/>
                <w:sz w:val="24"/>
              </w:rPr>
            </w:pPr>
            <w:r>
              <w:rPr>
                <w:rStyle w:val="8"/>
                <w:rFonts w:ascii="宋体" w:hAnsi="宋体"/>
                <w:color w:val="000000"/>
                <w:sz w:val="24"/>
              </w:rPr>
              <w:t>产品名称：</w:t>
            </w:r>
            <w:r>
              <w:rPr>
                <w:rStyle w:val="8"/>
                <w:rFonts w:hint="eastAsia" w:ascii="宋体" w:hAnsi="宋体"/>
                <w:color w:val="000000"/>
                <w:sz w:val="24"/>
                <w:lang w:val="en-US" w:eastAsia="zh-CN"/>
              </w:rPr>
              <w:t>硬质</w:t>
            </w:r>
            <w:r>
              <w:rPr>
                <w:rStyle w:val="8"/>
                <w:rFonts w:hint="eastAsia" w:ascii="宋体" w:hAnsi="宋体"/>
                <w:color w:val="000000"/>
                <w:sz w:val="24"/>
              </w:rPr>
              <w:t>输尿管镜</w:t>
            </w:r>
          </w:p>
        </w:tc>
      </w:tr>
      <w:tr w14:paraId="4EFE66F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30" w:type="dxa"/>
            <w:bottom w:w="0" w:type="dxa"/>
            <w:right w:w="30" w:type="dxa"/>
          </w:tblCellMar>
        </w:tblPrEx>
        <w:trPr>
          <w:trHeight w:val="998" w:hRule="exact"/>
          <w:jc w:val="center"/>
        </w:trPr>
        <w:tc>
          <w:tcPr>
            <w:tcW w:w="759" w:type="dxa"/>
            <w:tcBorders>
              <w:top w:val="single" w:color="000000" w:sz="4" w:space="0"/>
              <w:left w:val="single" w:color="000000" w:sz="12" w:space="0"/>
              <w:bottom w:val="single" w:color="000000" w:sz="4" w:space="0"/>
              <w:right w:val="single" w:color="000000" w:sz="4" w:space="0"/>
            </w:tcBorders>
            <w:noWrap w:val="0"/>
            <w:vAlign w:val="center"/>
          </w:tcPr>
          <w:p w14:paraId="6D82BF72">
            <w:pPr>
              <w:jc w:val="center"/>
              <w:textAlignment w:val="baseline"/>
              <w:rPr>
                <w:rStyle w:val="8"/>
                <w:rFonts w:ascii="宋体" w:hAnsi="宋体"/>
                <w:color w:val="000000"/>
                <w:sz w:val="24"/>
              </w:rPr>
            </w:pPr>
            <w:r>
              <w:rPr>
                <w:rStyle w:val="8"/>
                <w:rFonts w:ascii="宋体" w:hAnsi="宋体"/>
                <w:color w:val="000000"/>
                <w:sz w:val="24"/>
              </w:rPr>
              <w:t>No.</w:t>
            </w:r>
          </w:p>
        </w:tc>
        <w:tc>
          <w:tcPr>
            <w:tcW w:w="2855" w:type="dxa"/>
            <w:tcBorders>
              <w:top w:val="single" w:color="000000" w:sz="4" w:space="0"/>
              <w:left w:val="single" w:color="000000" w:sz="4" w:space="0"/>
              <w:bottom w:val="single" w:color="000000" w:sz="4" w:space="0"/>
              <w:right w:val="single" w:color="000000" w:sz="4" w:space="0"/>
            </w:tcBorders>
            <w:noWrap w:val="0"/>
            <w:vAlign w:val="center"/>
          </w:tcPr>
          <w:p w14:paraId="38AE19C6">
            <w:pPr>
              <w:jc w:val="center"/>
              <w:textAlignment w:val="baseline"/>
              <w:rPr>
                <w:rStyle w:val="8"/>
                <w:rFonts w:ascii="宋体" w:hAnsi="宋体"/>
                <w:color w:val="000000"/>
                <w:sz w:val="24"/>
              </w:rPr>
            </w:pPr>
            <w:r>
              <w:rPr>
                <w:rStyle w:val="8"/>
                <w:rFonts w:ascii="宋体" w:hAnsi="宋体"/>
                <w:color w:val="000000"/>
                <w:sz w:val="24"/>
              </w:rPr>
              <w:t>名称</w:t>
            </w:r>
          </w:p>
        </w:tc>
        <w:tc>
          <w:tcPr>
            <w:tcW w:w="2637" w:type="dxa"/>
            <w:tcBorders>
              <w:top w:val="single" w:color="000000" w:sz="4" w:space="0"/>
              <w:left w:val="single" w:color="000000" w:sz="4" w:space="0"/>
              <w:bottom w:val="single" w:color="000000" w:sz="4" w:space="0"/>
              <w:right w:val="single" w:color="000000" w:sz="4" w:space="0"/>
            </w:tcBorders>
            <w:noWrap w:val="0"/>
            <w:vAlign w:val="center"/>
          </w:tcPr>
          <w:p w14:paraId="5E11A334">
            <w:pPr>
              <w:jc w:val="center"/>
              <w:textAlignment w:val="baseline"/>
              <w:rPr>
                <w:rStyle w:val="8"/>
                <w:rFonts w:ascii="宋体" w:hAnsi="宋体"/>
                <w:color w:val="000000"/>
                <w:sz w:val="24"/>
              </w:rPr>
            </w:pPr>
            <w:r>
              <w:rPr>
                <w:rStyle w:val="8"/>
                <w:rFonts w:ascii="宋体" w:hAnsi="宋体"/>
                <w:color w:val="000000"/>
                <w:sz w:val="24"/>
              </w:rPr>
              <w:t>规格</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14:paraId="621C4626">
            <w:pPr>
              <w:jc w:val="center"/>
              <w:textAlignment w:val="baseline"/>
              <w:rPr>
                <w:rStyle w:val="8"/>
                <w:rFonts w:ascii="宋体" w:hAnsi="宋体"/>
                <w:color w:val="000000"/>
                <w:sz w:val="24"/>
              </w:rPr>
            </w:pPr>
            <w:r>
              <w:rPr>
                <w:rStyle w:val="8"/>
                <w:rFonts w:ascii="宋体" w:hAnsi="宋体"/>
                <w:color w:val="000000"/>
                <w:sz w:val="24"/>
              </w:rPr>
              <w:t>数量</w:t>
            </w:r>
          </w:p>
        </w:tc>
        <w:tc>
          <w:tcPr>
            <w:tcW w:w="958" w:type="dxa"/>
            <w:tcBorders>
              <w:top w:val="single" w:color="000000" w:sz="4" w:space="0"/>
              <w:left w:val="single" w:color="000000" w:sz="4" w:space="0"/>
              <w:bottom w:val="single" w:color="000000" w:sz="4" w:space="0"/>
              <w:right w:val="single" w:color="000000" w:sz="12" w:space="0"/>
            </w:tcBorders>
            <w:noWrap w:val="0"/>
            <w:vAlign w:val="center"/>
          </w:tcPr>
          <w:p w14:paraId="6C36B6FD">
            <w:pPr>
              <w:jc w:val="center"/>
              <w:textAlignment w:val="baseline"/>
              <w:rPr>
                <w:rStyle w:val="8"/>
                <w:rFonts w:ascii="宋体" w:hAnsi="宋体"/>
                <w:color w:val="000000"/>
                <w:sz w:val="24"/>
              </w:rPr>
            </w:pPr>
            <w:r>
              <w:rPr>
                <w:rStyle w:val="8"/>
                <w:rFonts w:ascii="宋体" w:hAnsi="宋体"/>
                <w:color w:val="000000"/>
                <w:sz w:val="24"/>
              </w:rPr>
              <w:t>备注</w:t>
            </w:r>
          </w:p>
        </w:tc>
      </w:tr>
      <w:tr w14:paraId="628B3B5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30" w:type="dxa"/>
            <w:bottom w:w="0" w:type="dxa"/>
            <w:right w:w="30" w:type="dxa"/>
          </w:tblCellMar>
        </w:tblPrEx>
        <w:trPr>
          <w:trHeight w:val="967" w:hRule="exact"/>
          <w:jc w:val="center"/>
        </w:trPr>
        <w:tc>
          <w:tcPr>
            <w:tcW w:w="759" w:type="dxa"/>
            <w:tcBorders>
              <w:top w:val="single" w:color="000000" w:sz="4" w:space="0"/>
              <w:left w:val="single" w:color="000000" w:sz="12" w:space="0"/>
              <w:bottom w:val="single" w:color="000000" w:sz="4" w:space="0"/>
              <w:right w:val="single" w:color="000000" w:sz="4" w:space="0"/>
            </w:tcBorders>
            <w:noWrap w:val="0"/>
            <w:vAlign w:val="center"/>
          </w:tcPr>
          <w:p w14:paraId="70A26144">
            <w:pPr>
              <w:jc w:val="center"/>
              <w:textAlignment w:val="baseline"/>
              <w:rPr>
                <w:rStyle w:val="8"/>
                <w:rFonts w:ascii="宋体" w:hAnsi="宋体"/>
                <w:color w:val="000000"/>
                <w:sz w:val="24"/>
              </w:rPr>
            </w:pPr>
            <w:r>
              <w:rPr>
                <w:rStyle w:val="8"/>
                <w:rFonts w:ascii="宋体" w:hAnsi="宋体"/>
                <w:color w:val="000000"/>
                <w:sz w:val="24"/>
              </w:rPr>
              <w:t>1</w:t>
            </w:r>
          </w:p>
        </w:tc>
        <w:tc>
          <w:tcPr>
            <w:tcW w:w="2855" w:type="dxa"/>
            <w:tcBorders>
              <w:top w:val="single" w:color="000000" w:sz="4" w:space="0"/>
              <w:left w:val="single" w:color="000000" w:sz="4" w:space="0"/>
              <w:bottom w:val="single" w:color="000000" w:sz="4" w:space="0"/>
              <w:right w:val="single" w:color="000000" w:sz="4" w:space="0"/>
            </w:tcBorders>
            <w:noWrap w:val="0"/>
            <w:vAlign w:val="center"/>
          </w:tcPr>
          <w:p w14:paraId="77B15A86">
            <w:pPr>
              <w:jc w:val="center"/>
              <w:textAlignment w:val="baseline"/>
              <w:rPr>
                <w:rStyle w:val="8"/>
                <w:rFonts w:ascii="宋体" w:hAnsi="宋体"/>
                <w:color w:val="000000"/>
                <w:sz w:val="24"/>
              </w:rPr>
            </w:pPr>
            <w:r>
              <w:rPr>
                <w:rStyle w:val="8"/>
                <w:rFonts w:ascii="宋体" w:hAnsi="宋体"/>
                <w:color w:val="000000"/>
                <w:sz w:val="24"/>
              </w:rPr>
              <w:t>输尿管</w:t>
            </w:r>
            <w:r>
              <w:rPr>
                <w:rStyle w:val="8"/>
                <w:rFonts w:hint="eastAsia" w:ascii="宋体" w:hAnsi="宋体"/>
                <w:color w:val="000000"/>
                <w:sz w:val="24"/>
              </w:rPr>
              <w:t>肾</w:t>
            </w:r>
            <w:r>
              <w:rPr>
                <w:rStyle w:val="8"/>
                <w:rFonts w:ascii="宋体" w:hAnsi="宋体"/>
                <w:color w:val="000000"/>
                <w:sz w:val="24"/>
              </w:rPr>
              <w:t>镜</w:t>
            </w:r>
          </w:p>
        </w:tc>
        <w:tc>
          <w:tcPr>
            <w:tcW w:w="2637" w:type="dxa"/>
            <w:tcBorders>
              <w:top w:val="single" w:color="000000" w:sz="4" w:space="0"/>
              <w:left w:val="single" w:color="000000" w:sz="4" w:space="0"/>
              <w:bottom w:val="single" w:color="000000" w:sz="4" w:space="0"/>
              <w:right w:val="single" w:color="000000" w:sz="4" w:space="0"/>
            </w:tcBorders>
            <w:noWrap w:val="0"/>
            <w:vAlign w:val="center"/>
          </w:tcPr>
          <w:p w14:paraId="0C02D3EE">
            <w:pPr>
              <w:jc w:val="center"/>
              <w:textAlignment w:val="baseline"/>
              <w:rPr>
                <w:rStyle w:val="8"/>
                <w:rFonts w:ascii="宋体" w:hAnsi="宋体"/>
                <w:color w:val="000000"/>
                <w:sz w:val="24"/>
              </w:rPr>
            </w:pPr>
            <w:r>
              <w:rPr>
                <w:rStyle w:val="8"/>
                <w:rFonts w:ascii="宋体" w:hAnsi="宋体"/>
                <w:color w:val="000000"/>
                <w:sz w:val="24"/>
              </w:rPr>
              <w:t>F</w:t>
            </w:r>
            <w:r>
              <w:rPr>
                <w:rStyle w:val="8"/>
                <w:rFonts w:hint="eastAsia" w:ascii="宋体" w:hAnsi="宋体"/>
                <w:color w:val="000000"/>
                <w:sz w:val="24"/>
              </w:rPr>
              <w:t>r7</w:t>
            </w:r>
            <w:r>
              <w:rPr>
                <w:rStyle w:val="8"/>
                <w:rFonts w:ascii="宋体" w:hAnsi="宋体"/>
                <w:color w:val="000000"/>
                <w:sz w:val="24"/>
              </w:rPr>
              <w:t>.5×425</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14:paraId="720C99AC">
            <w:pPr>
              <w:jc w:val="center"/>
              <w:textAlignment w:val="baseline"/>
              <w:rPr>
                <w:rStyle w:val="8"/>
                <w:rFonts w:ascii="宋体" w:hAnsi="宋体"/>
                <w:color w:val="000000"/>
                <w:sz w:val="24"/>
              </w:rPr>
            </w:pPr>
            <w:r>
              <w:rPr>
                <w:rStyle w:val="8"/>
                <w:rFonts w:hint="eastAsia" w:ascii="宋体" w:hAnsi="宋体"/>
                <w:color w:val="000000"/>
                <w:sz w:val="24"/>
              </w:rPr>
              <w:t>3</w:t>
            </w:r>
            <w:r>
              <w:rPr>
                <w:rStyle w:val="8"/>
                <w:rFonts w:ascii="宋体" w:hAnsi="宋体"/>
                <w:color w:val="000000"/>
                <w:sz w:val="24"/>
              </w:rPr>
              <w:t>支</w:t>
            </w:r>
          </w:p>
        </w:tc>
        <w:tc>
          <w:tcPr>
            <w:tcW w:w="958" w:type="dxa"/>
            <w:tcBorders>
              <w:top w:val="single" w:color="000000" w:sz="4" w:space="0"/>
              <w:left w:val="single" w:color="000000" w:sz="4" w:space="0"/>
              <w:bottom w:val="single" w:color="000000" w:sz="4" w:space="0"/>
              <w:right w:val="single" w:color="000000" w:sz="12" w:space="0"/>
            </w:tcBorders>
            <w:noWrap w:val="0"/>
            <w:vAlign w:val="center"/>
          </w:tcPr>
          <w:p w14:paraId="7AA1C558">
            <w:pPr>
              <w:textAlignment w:val="baseline"/>
              <w:rPr>
                <w:rStyle w:val="8"/>
                <w:rFonts w:ascii="宋体" w:hAnsi="宋体"/>
                <w:color w:val="000000"/>
                <w:sz w:val="24"/>
              </w:rPr>
            </w:pPr>
          </w:p>
        </w:tc>
      </w:tr>
      <w:tr w14:paraId="1E18400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30" w:type="dxa"/>
            <w:bottom w:w="0" w:type="dxa"/>
            <w:right w:w="30" w:type="dxa"/>
          </w:tblCellMar>
        </w:tblPrEx>
        <w:trPr>
          <w:trHeight w:val="967" w:hRule="exact"/>
          <w:jc w:val="center"/>
        </w:trPr>
        <w:tc>
          <w:tcPr>
            <w:tcW w:w="759" w:type="dxa"/>
            <w:tcBorders>
              <w:top w:val="single" w:color="000000" w:sz="4" w:space="0"/>
              <w:left w:val="single" w:color="000000" w:sz="12" w:space="0"/>
              <w:bottom w:val="single" w:color="000000" w:sz="4" w:space="0"/>
              <w:right w:val="single" w:color="000000" w:sz="4" w:space="0"/>
            </w:tcBorders>
            <w:noWrap w:val="0"/>
            <w:vAlign w:val="center"/>
          </w:tcPr>
          <w:p w14:paraId="71B858E6">
            <w:pPr>
              <w:jc w:val="center"/>
              <w:textAlignment w:val="baseline"/>
              <w:rPr>
                <w:rStyle w:val="8"/>
                <w:rFonts w:ascii="宋体" w:hAnsi="宋体"/>
                <w:color w:val="000000"/>
                <w:sz w:val="24"/>
              </w:rPr>
            </w:pPr>
            <w:r>
              <w:rPr>
                <w:rStyle w:val="8"/>
                <w:rFonts w:hint="eastAsia" w:ascii="宋体" w:hAnsi="宋体"/>
                <w:color w:val="000000"/>
                <w:sz w:val="24"/>
              </w:rPr>
              <w:t>2</w:t>
            </w:r>
          </w:p>
        </w:tc>
        <w:tc>
          <w:tcPr>
            <w:tcW w:w="2855" w:type="dxa"/>
            <w:tcBorders>
              <w:top w:val="single" w:color="000000" w:sz="4" w:space="0"/>
              <w:left w:val="single" w:color="000000" w:sz="4" w:space="0"/>
              <w:bottom w:val="single" w:color="000000" w:sz="4" w:space="0"/>
              <w:right w:val="single" w:color="000000" w:sz="4" w:space="0"/>
            </w:tcBorders>
            <w:noWrap w:val="0"/>
            <w:vAlign w:val="center"/>
          </w:tcPr>
          <w:p w14:paraId="0871FD64">
            <w:pPr>
              <w:jc w:val="center"/>
              <w:textAlignment w:val="baseline"/>
              <w:rPr>
                <w:rStyle w:val="8"/>
                <w:rFonts w:ascii="宋体" w:hAnsi="宋体"/>
                <w:color w:val="000000"/>
                <w:sz w:val="24"/>
              </w:rPr>
            </w:pPr>
            <w:r>
              <w:rPr>
                <w:rStyle w:val="8"/>
                <w:rFonts w:hint="eastAsia" w:ascii="宋体" w:hAnsi="宋体"/>
                <w:color w:val="000000"/>
                <w:sz w:val="24"/>
              </w:rPr>
              <w:t>硬性异物钳</w:t>
            </w:r>
          </w:p>
        </w:tc>
        <w:tc>
          <w:tcPr>
            <w:tcW w:w="2637" w:type="dxa"/>
            <w:tcBorders>
              <w:top w:val="single" w:color="000000" w:sz="4" w:space="0"/>
              <w:left w:val="single" w:color="000000" w:sz="4" w:space="0"/>
              <w:bottom w:val="single" w:color="000000" w:sz="4" w:space="0"/>
              <w:right w:val="single" w:color="000000" w:sz="4" w:space="0"/>
            </w:tcBorders>
            <w:noWrap w:val="0"/>
            <w:vAlign w:val="center"/>
          </w:tcPr>
          <w:p w14:paraId="158B93FF">
            <w:pPr>
              <w:jc w:val="center"/>
              <w:textAlignment w:val="baseline"/>
              <w:rPr>
                <w:rStyle w:val="8"/>
                <w:rFonts w:ascii="宋体" w:hAnsi="宋体"/>
                <w:color w:val="000000"/>
                <w:sz w:val="24"/>
              </w:rPr>
            </w:pPr>
            <w:r>
              <w:rPr>
                <w:rStyle w:val="8"/>
                <w:rFonts w:hint="eastAsia" w:ascii="宋体" w:hAnsi="宋体"/>
                <w:color w:val="000000"/>
                <w:sz w:val="24"/>
              </w:rPr>
              <w:t>F5</w:t>
            </w:r>
            <w:r>
              <w:rPr>
                <w:rStyle w:val="8"/>
                <w:rFonts w:ascii="宋体" w:hAnsi="宋体"/>
                <w:color w:val="000000"/>
                <w:sz w:val="24"/>
              </w:rPr>
              <w:t>×</w:t>
            </w:r>
            <w:r>
              <w:rPr>
                <w:rStyle w:val="8"/>
                <w:rFonts w:hint="eastAsia" w:ascii="宋体" w:hAnsi="宋体"/>
                <w:color w:val="000000"/>
                <w:sz w:val="24"/>
              </w:rPr>
              <w:t>580</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14:paraId="40D537F3">
            <w:pPr>
              <w:jc w:val="center"/>
              <w:textAlignment w:val="baseline"/>
              <w:rPr>
                <w:rStyle w:val="8"/>
                <w:rFonts w:ascii="宋体" w:hAnsi="宋体"/>
                <w:color w:val="000000"/>
                <w:sz w:val="24"/>
              </w:rPr>
            </w:pPr>
            <w:r>
              <w:rPr>
                <w:rStyle w:val="8"/>
                <w:rFonts w:hint="eastAsia" w:ascii="宋体" w:hAnsi="宋体"/>
                <w:color w:val="000000"/>
                <w:sz w:val="24"/>
              </w:rPr>
              <w:t>3把</w:t>
            </w:r>
          </w:p>
        </w:tc>
        <w:tc>
          <w:tcPr>
            <w:tcW w:w="958" w:type="dxa"/>
            <w:tcBorders>
              <w:top w:val="single" w:color="000000" w:sz="4" w:space="0"/>
              <w:left w:val="single" w:color="000000" w:sz="4" w:space="0"/>
              <w:bottom w:val="single" w:color="000000" w:sz="4" w:space="0"/>
              <w:right w:val="single" w:color="000000" w:sz="12" w:space="0"/>
            </w:tcBorders>
            <w:noWrap w:val="0"/>
            <w:vAlign w:val="center"/>
          </w:tcPr>
          <w:p w14:paraId="29347DAA">
            <w:pPr>
              <w:textAlignment w:val="baseline"/>
              <w:rPr>
                <w:rStyle w:val="8"/>
                <w:rFonts w:ascii="宋体" w:hAnsi="宋体"/>
                <w:color w:val="000000"/>
                <w:sz w:val="24"/>
              </w:rPr>
            </w:pPr>
          </w:p>
        </w:tc>
      </w:tr>
      <w:tr w14:paraId="2FFDEC4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30" w:type="dxa"/>
            <w:bottom w:w="0" w:type="dxa"/>
            <w:right w:w="30" w:type="dxa"/>
          </w:tblCellMar>
        </w:tblPrEx>
        <w:trPr>
          <w:trHeight w:val="967" w:hRule="exact"/>
          <w:jc w:val="center"/>
        </w:trPr>
        <w:tc>
          <w:tcPr>
            <w:tcW w:w="759" w:type="dxa"/>
            <w:tcBorders>
              <w:top w:val="single" w:color="000000" w:sz="4" w:space="0"/>
              <w:left w:val="single" w:color="000000" w:sz="12" w:space="0"/>
              <w:bottom w:val="single" w:color="000000" w:sz="4" w:space="0"/>
              <w:right w:val="single" w:color="000000" w:sz="4" w:space="0"/>
            </w:tcBorders>
            <w:noWrap w:val="0"/>
            <w:vAlign w:val="center"/>
          </w:tcPr>
          <w:p w14:paraId="5B737C24">
            <w:pPr>
              <w:jc w:val="center"/>
              <w:textAlignment w:val="baseline"/>
              <w:rPr>
                <w:rStyle w:val="8"/>
                <w:rFonts w:ascii="宋体" w:hAnsi="宋体"/>
                <w:color w:val="000000"/>
                <w:sz w:val="24"/>
              </w:rPr>
            </w:pPr>
            <w:r>
              <w:rPr>
                <w:rStyle w:val="8"/>
                <w:rFonts w:hint="eastAsia" w:ascii="宋体" w:hAnsi="宋体"/>
                <w:color w:val="000000"/>
                <w:sz w:val="24"/>
              </w:rPr>
              <w:t>3</w:t>
            </w:r>
          </w:p>
        </w:tc>
        <w:tc>
          <w:tcPr>
            <w:tcW w:w="2855" w:type="dxa"/>
            <w:tcBorders>
              <w:top w:val="single" w:color="000000" w:sz="4" w:space="0"/>
              <w:left w:val="single" w:color="000000" w:sz="4" w:space="0"/>
              <w:bottom w:val="single" w:color="000000" w:sz="4" w:space="0"/>
              <w:right w:val="single" w:color="000000" w:sz="4" w:space="0"/>
            </w:tcBorders>
            <w:noWrap w:val="0"/>
            <w:vAlign w:val="center"/>
          </w:tcPr>
          <w:p w14:paraId="649227AD">
            <w:pPr>
              <w:jc w:val="center"/>
              <w:textAlignment w:val="baseline"/>
              <w:rPr>
                <w:rStyle w:val="8"/>
                <w:rFonts w:ascii="宋体" w:hAnsi="宋体"/>
                <w:color w:val="000000"/>
                <w:sz w:val="24"/>
              </w:rPr>
            </w:pPr>
            <w:r>
              <w:rPr>
                <w:rStyle w:val="8"/>
                <w:rFonts w:hint="eastAsia" w:ascii="宋体" w:hAnsi="宋体"/>
                <w:color w:val="000000"/>
                <w:sz w:val="24"/>
              </w:rPr>
              <w:t>硬性活检钳</w:t>
            </w:r>
          </w:p>
        </w:tc>
        <w:tc>
          <w:tcPr>
            <w:tcW w:w="2637" w:type="dxa"/>
            <w:tcBorders>
              <w:top w:val="single" w:color="000000" w:sz="4" w:space="0"/>
              <w:left w:val="single" w:color="000000" w:sz="4" w:space="0"/>
              <w:bottom w:val="single" w:color="000000" w:sz="4" w:space="0"/>
              <w:right w:val="single" w:color="000000" w:sz="4" w:space="0"/>
            </w:tcBorders>
            <w:noWrap w:val="0"/>
            <w:vAlign w:val="center"/>
          </w:tcPr>
          <w:p w14:paraId="212F31CD">
            <w:pPr>
              <w:jc w:val="center"/>
              <w:textAlignment w:val="baseline"/>
              <w:rPr>
                <w:rStyle w:val="8"/>
                <w:rFonts w:ascii="宋体" w:hAnsi="宋体"/>
                <w:color w:val="000000"/>
                <w:sz w:val="24"/>
              </w:rPr>
            </w:pPr>
            <w:r>
              <w:rPr>
                <w:rStyle w:val="8"/>
                <w:rFonts w:hint="eastAsia" w:ascii="宋体" w:hAnsi="宋体"/>
                <w:color w:val="000000"/>
                <w:sz w:val="24"/>
              </w:rPr>
              <w:t>F5</w:t>
            </w:r>
            <w:r>
              <w:rPr>
                <w:rStyle w:val="8"/>
                <w:rFonts w:ascii="宋体" w:hAnsi="宋体"/>
                <w:color w:val="000000"/>
                <w:sz w:val="24"/>
              </w:rPr>
              <w:t>×</w:t>
            </w:r>
            <w:r>
              <w:rPr>
                <w:rStyle w:val="8"/>
                <w:rFonts w:hint="eastAsia" w:ascii="宋体" w:hAnsi="宋体"/>
                <w:color w:val="000000"/>
                <w:sz w:val="24"/>
              </w:rPr>
              <w:t>580</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14:paraId="6BABCB6A">
            <w:pPr>
              <w:jc w:val="center"/>
              <w:textAlignment w:val="baseline"/>
              <w:rPr>
                <w:rStyle w:val="8"/>
                <w:rFonts w:ascii="宋体" w:hAnsi="宋体"/>
                <w:color w:val="000000"/>
                <w:sz w:val="24"/>
              </w:rPr>
            </w:pPr>
            <w:r>
              <w:rPr>
                <w:rStyle w:val="8"/>
                <w:rFonts w:hint="eastAsia" w:ascii="宋体" w:hAnsi="宋体"/>
                <w:color w:val="000000"/>
                <w:sz w:val="24"/>
              </w:rPr>
              <w:t>3把</w:t>
            </w:r>
          </w:p>
        </w:tc>
        <w:tc>
          <w:tcPr>
            <w:tcW w:w="958" w:type="dxa"/>
            <w:tcBorders>
              <w:top w:val="single" w:color="000000" w:sz="4" w:space="0"/>
              <w:left w:val="single" w:color="000000" w:sz="4" w:space="0"/>
              <w:bottom w:val="single" w:color="000000" w:sz="4" w:space="0"/>
              <w:right w:val="single" w:color="000000" w:sz="12" w:space="0"/>
            </w:tcBorders>
            <w:noWrap w:val="0"/>
            <w:vAlign w:val="center"/>
          </w:tcPr>
          <w:p w14:paraId="57E0BA8C">
            <w:pPr>
              <w:textAlignment w:val="baseline"/>
              <w:rPr>
                <w:rStyle w:val="8"/>
                <w:rFonts w:ascii="宋体" w:hAnsi="宋体"/>
                <w:color w:val="000000"/>
                <w:sz w:val="24"/>
              </w:rPr>
            </w:pPr>
          </w:p>
        </w:tc>
      </w:tr>
      <w:tr w14:paraId="71FABFF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30" w:type="dxa"/>
            <w:bottom w:w="0" w:type="dxa"/>
            <w:right w:w="30" w:type="dxa"/>
          </w:tblCellMar>
        </w:tblPrEx>
        <w:trPr>
          <w:trHeight w:val="967" w:hRule="exact"/>
          <w:jc w:val="center"/>
        </w:trPr>
        <w:tc>
          <w:tcPr>
            <w:tcW w:w="759" w:type="dxa"/>
            <w:tcBorders>
              <w:top w:val="single" w:color="000000" w:sz="4" w:space="0"/>
              <w:left w:val="single" w:color="000000" w:sz="12" w:space="0"/>
              <w:bottom w:val="single" w:color="000000" w:sz="4" w:space="0"/>
              <w:right w:val="single" w:color="000000" w:sz="4" w:space="0"/>
            </w:tcBorders>
            <w:noWrap w:val="0"/>
            <w:vAlign w:val="center"/>
          </w:tcPr>
          <w:p w14:paraId="5B744CEE">
            <w:pPr>
              <w:jc w:val="center"/>
              <w:textAlignment w:val="baseline"/>
              <w:rPr>
                <w:rStyle w:val="8"/>
                <w:rFonts w:ascii="宋体" w:hAnsi="宋体"/>
                <w:color w:val="000000"/>
                <w:sz w:val="24"/>
              </w:rPr>
            </w:pPr>
            <w:r>
              <w:rPr>
                <w:rStyle w:val="8"/>
                <w:rFonts w:hint="eastAsia" w:ascii="宋体" w:hAnsi="宋体"/>
                <w:color w:val="000000"/>
                <w:sz w:val="24"/>
              </w:rPr>
              <w:t>4</w:t>
            </w:r>
          </w:p>
        </w:tc>
        <w:tc>
          <w:tcPr>
            <w:tcW w:w="2855" w:type="dxa"/>
            <w:tcBorders>
              <w:top w:val="single" w:color="000000" w:sz="4" w:space="0"/>
              <w:left w:val="single" w:color="000000" w:sz="4" w:space="0"/>
              <w:bottom w:val="single" w:color="000000" w:sz="4" w:space="0"/>
              <w:right w:val="single" w:color="000000" w:sz="4" w:space="0"/>
            </w:tcBorders>
            <w:noWrap w:val="0"/>
            <w:vAlign w:val="center"/>
          </w:tcPr>
          <w:p w14:paraId="46893151">
            <w:pPr>
              <w:jc w:val="center"/>
              <w:textAlignment w:val="baseline"/>
              <w:rPr>
                <w:rStyle w:val="8"/>
                <w:rFonts w:ascii="宋体" w:hAnsi="宋体"/>
                <w:color w:val="000000"/>
                <w:sz w:val="24"/>
              </w:rPr>
            </w:pPr>
            <w:r>
              <w:rPr>
                <w:rStyle w:val="8"/>
                <w:rFonts w:hint="eastAsia" w:ascii="宋体" w:hAnsi="宋体"/>
                <w:color w:val="000000"/>
                <w:sz w:val="24"/>
              </w:rPr>
              <w:t>消毒盒</w:t>
            </w:r>
          </w:p>
        </w:tc>
        <w:tc>
          <w:tcPr>
            <w:tcW w:w="2637" w:type="dxa"/>
            <w:tcBorders>
              <w:top w:val="single" w:color="000000" w:sz="4" w:space="0"/>
              <w:left w:val="single" w:color="000000" w:sz="4" w:space="0"/>
              <w:bottom w:val="single" w:color="000000" w:sz="4" w:space="0"/>
              <w:right w:val="single" w:color="000000" w:sz="4" w:space="0"/>
            </w:tcBorders>
            <w:noWrap w:val="0"/>
            <w:vAlign w:val="center"/>
          </w:tcPr>
          <w:p w14:paraId="65C90702">
            <w:pPr>
              <w:jc w:val="center"/>
              <w:textAlignment w:val="baseline"/>
              <w:rPr>
                <w:rStyle w:val="8"/>
                <w:rFonts w:ascii="宋体" w:hAnsi="宋体"/>
                <w:color w:val="000000"/>
                <w:sz w:val="24"/>
              </w:rPr>
            </w:pPr>
            <w:r>
              <w:rPr>
                <w:rStyle w:val="8"/>
                <w:rFonts w:hint="eastAsia" w:ascii="宋体" w:hAnsi="宋体"/>
                <w:color w:val="000000"/>
                <w:sz w:val="24"/>
              </w:rPr>
              <w:t>/</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14:paraId="3F115161">
            <w:pPr>
              <w:jc w:val="center"/>
              <w:textAlignment w:val="baseline"/>
              <w:rPr>
                <w:rStyle w:val="8"/>
                <w:rFonts w:ascii="宋体" w:hAnsi="宋体"/>
                <w:color w:val="000000"/>
                <w:sz w:val="24"/>
              </w:rPr>
            </w:pPr>
            <w:r>
              <w:rPr>
                <w:rStyle w:val="8"/>
                <w:rFonts w:hint="eastAsia" w:ascii="宋体" w:hAnsi="宋体"/>
                <w:color w:val="000000"/>
                <w:sz w:val="24"/>
              </w:rPr>
              <w:t>3个</w:t>
            </w:r>
          </w:p>
        </w:tc>
        <w:tc>
          <w:tcPr>
            <w:tcW w:w="958" w:type="dxa"/>
            <w:tcBorders>
              <w:top w:val="single" w:color="000000" w:sz="4" w:space="0"/>
              <w:left w:val="single" w:color="000000" w:sz="4" w:space="0"/>
              <w:bottom w:val="single" w:color="000000" w:sz="4" w:space="0"/>
              <w:right w:val="single" w:color="000000" w:sz="12" w:space="0"/>
            </w:tcBorders>
            <w:noWrap w:val="0"/>
            <w:vAlign w:val="center"/>
          </w:tcPr>
          <w:p w14:paraId="0C37150C">
            <w:pPr>
              <w:textAlignment w:val="baseline"/>
              <w:rPr>
                <w:rStyle w:val="8"/>
                <w:rFonts w:ascii="宋体" w:hAnsi="宋体"/>
                <w:color w:val="000000"/>
                <w:sz w:val="24"/>
              </w:rPr>
            </w:pPr>
          </w:p>
        </w:tc>
      </w:tr>
    </w:tbl>
    <w:p w14:paraId="46687579"/>
    <w:p w14:paraId="7661AA24">
      <w:pPr>
        <w:pStyle w:val="4"/>
      </w:pPr>
    </w:p>
    <w:p w14:paraId="12A471EB">
      <w:pPr>
        <w:rPr>
          <w:rFonts w:hint="eastAsia"/>
          <w:b/>
          <w:bCs/>
          <w:color w:val="FF0000"/>
          <w:sz w:val="30"/>
          <w:szCs w:val="30"/>
          <w:lang w:val="en-US" w:eastAsia="zh-CN"/>
        </w:rPr>
      </w:pPr>
      <w:r>
        <w:rPr>
          <w:rFonts w:hint="eastAsia"/>
          <w:b/>
          <w:bCs/>
          <w:color w:val="FF0000"/>
          <w:sz w:val="30"/>
          <w:szCs w:val="30"/>
          <w:lang w:val="en-US" w:eastAsia="zh-CN"/>
        </w:rPr>
        <w:t>注：</w:t>
      </w:r>
    </w:p>
    <w:p w14:paraId="11CC45B2">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7953EC76">
      <w:pPr>
        <w:pStyle w:val="2"/>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2、供应商的响应文件中提供相应的证明材料是指：医疗器械注册证、第三方检测报告、产品说明书、产品彩页，提供其中之一即可。</w:t>
      </w:r>
    </w:p>
    <w:p w14:paraId="2A1F045F">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67A77735">
      <w:pPr>
        <w:rPr>
          <w:rFonts w:hint="default"/>
          <w:sz w:val="28"/>
          <w:szCs w:val="28"/>
          <w:lang w:val="en-US" w:eastAsia="zh-CN"/>
        </w:rPr>
      </w:pPr>
      <w:r>
        <w:rPr>
          <w:rFonts w:hint="default"/>
          <w:sz w:val="28"/>
          <w:szCs w:val="28"/>
          <w:lang w:val="en-US" w:eastAsia="zh-CN"/>
        </w:rPr>
        <w:t>（本项目商务要求为不允许负偏离的实质性要求和条件）</w:t>
      </w:r>
    </w:p>
    <w:p w14:paraId="0B57D1AB">
      <w:pPr>
        <w:rPr>
          <w:rFonts w:hint="default"/>
          <w:sz w:val="28"/>
          <w:szCs w:val="28"/>
          <w:lang w:val="en-US" w:eastAsia="zh-CN"/>
        </w:rPr>
      </w:pPr>
      <w:r>
        <w:rPr>
          <w:rFonts w:hint="default"/>
          <w:sz w:val="28"/>
          <w:szCs w:val="28"/>
          <w:lang w:val="en-US" w:eastAsia="zh-CN"/>
        </w:rPr>
        <w:t>1、所有货物（包括零部件）须为全新的、未使用过的原装正品。</w:t>
      </w:r>
    </w:p>
    <w:p w14:paraId="5296F2FF">
      <w:pPr>
        <w:rPr>
          <w:rFonts w:hint="default"/>
          <w:sz w:val="28"/>
          <w:szCs w:val="28"/>
          <w:highlight w:val="yellow"/>
          <w:lang w:val="en-US" w:eastAsia="zh-CN"/>
        </w:rPr>
      </w:pPr>
      <w:r>
        <w:rPr>
          <w:rFonts w:hint="default"/>
          <w:sz w:val="28"/>
          <w:szCs w:val="28"/>
          <w:highlight w:val="yellow"/>
          <w:lang w:val="en-US" w:eastAsia="zh-CN"/>
        </w:rPr>
        <w:t>2、所有货物必须符合《医疗器械标准管理办法》等国家相关强制性要求。</w:t>
      </w:r>
    </w:p>
    <w:p w14:paraId="68153134">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2.1本项目的特定资格要求：（供应商须提供相应的证明材料，否则视为资格性审查不通过）</w:t>
      </w:r>
    </w:p>
    <w:p w14:paraId="7F503CA8">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（1）供应商若为生产企业：所报产品为第二、三类医疗器械的，提供涵盖所报医疗器械的《医疗器械生产许可证》。</w:t>
      </w:r>
    </w:p>
    <w:p w14:paraId="3F1D9A0E">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（2）供应商若为经营企业：所报产品为第二类医疗器械的，提供涵盖所报医疗器械的《医疗器械经营备案凭证》；所报产品为第三类医疗器械的，提供涵盖所报医疗器械的《医疗器械经营许可证》。</w:t>
      </w:r>
    </w:p>
    <w:p w14:paraId="2A7D267B">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2.2供应商所报</w:t>
      </w:r>
      <w:r>
        <w:rPr>
          <w:rFonts w:hint="eastAsia" w:ascii="Times New Roman" w:hAnsi="Times New Roman" w:eastAsia="宋体" w:cs="Times New Roman"/>
          <w:b/>
          <w:bCs/>
          <w:sz w:val="28"/>
          <w:szCs w:val="28"/>
          <w:highlight w:val="yellow"/>
          <w:lang w:val="en-US" w:eastAsia="zh-CN"/>
        </w:rPr>
        <w:t>硬质输尿管镜</w:t>
      </w:r>
      <w:r>
        <w:rPr>
          <w:rFonts w:hint="eastAsia" w:ascii="Times New Roman" w:hAnsi="Times New Roman" w:eastAsia="宋体" w:cs="Times New Roman"/>
          <w:sz w:val="28"/>
          <w:szCs w:val="28"/>
          <w:highlight w:val="yellow"/>
          <w:lang w:val="en-US" w:eastAsia="zh-CN"/>
        </w:rPr>
        <w:t>的医疗器械注册证复印件（在有效期内）或【第一类医疗器械备案凭证扫描件和第一类医疗器械备案信息证明材料扫描件】。</w:t>
      </w:r>
    </w:p>
    <w:p w14:paraId="1AF348C7">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3、技术支持</w:t>
      </w:r>
    </w:p>
    <w:p w14:paraId="5AD04583">
      <w:pPr>
        <w:rPr>
          <w:rFonts w:hint="default"/>
          <w:sz w:val="28"/>
          <w:szCs w:val="28"/>
          <w:lang w:val="en-US" w:eastAsia="zh-CN"/>
        </w:rPr>
      </w:pPr>
      <w:r>
        <w:rPr>
          <w:rFonts w:hint="default"/>
          <w:sz w:val="28"/>
          <w:szCs w:val="28"/>
          <w:lang w:val="en-US" w:eastAsia="zh-CN"/>
        </w:rPr>
        <w:t>3.1</w:t>
      </w:r>
      <w:r>
        <w:rPr>
          <w:rFonts w:hint="eastAsia"/>
          <w:sz w:val="28"/>
          <w:szCs w:val="28"/>
          <w:lang w:val="en-US" w:eastAsia="zh-CN"/>
        </w:rPr>
        <w:t>成交供应商</w:t>
      </w:r>
      <w:r>
        <w:rPr>
          <w:rFonts w:hint="default"/>
          <w:sz w:val="28"/>
          <w:szCs w:val="28"/>
          <w:lang w:val="en-US" w:eastAsia="zh-CN"/>
        </w:rPr>
        <w:t>应向</w:t>
      </w:r>
      <w:r>
        <w:rPr>
          <w:rFonts w:hint="eastAsia"/>
          <w:sz w:val="28"/>
          <w:szCs w:val="28"/>
          <w:lang w:val="en-US" w:eastAsia="zh-CN"/>
        </w:rPr>
        <w:t>采购人</w:t>
      </w:r>
      <w:r>
        <w:rPr>
          <w:rFonts w:hint="default"/>
          <w:sz w:val="28"/>
          <w:szCs w:val="28"/>
          <w:lang w:val="en-US" w:eastAsia="zh-CN"/>
        </w:rPr>
        <w:t>提供全方位及时而有效的技术支持和服务。</w:t>
      </w:r>
    </w:p>
    <w:p w14:paraId="46FB6ACE">
      <w:pPr>
        <w:rPr>
          <w:rFonts w:hint="default"/>
          <w:sz w:val="28"/>
          <w:szCs w:val="28"/>
          <w:lang w:val="en-US" w:eastAsia="zh-CN"/>
        </w:rPr>
      </w:pPr>
      <w:r>
        <w:rPr>
          <w:rFonts w:hint="default"/>
          <w:sz w:val="28"/>
          <w:szCs w:val="28"/>
          <w:lang w:val="en-US" w:eastAsia="zh-CN"/>
        </w:rPr>
        <w:t>3.2</w:t>
      </w:r>
      <w:r>
        <w:rPr>
          <w:rFonts w:hint="eastAsia"/>
          <w:sz w:val="28"/>
          <w:szCs w:val="28"/>
          <w:lang w:val="en-US" w:eastAsia="zh-CN"/>
        </w:rPr>
        <w:t>成交供应商</w:t>
      </w:r>
      <w:r>
        <w:rPr>
          <w:rFonts w:hint="default"/>
          <w:sz w:val="28"/>
          <w:szCs w:val="28"/>
          <w:lang w:val="en-US" w:eastAsia="zh-CN"/>
        </w:rPr>
        <w:t>负责供货、运输并安装调试完毕。</w:t>
      </w:r>
    </w:p>
    <w:p w14:paraId="29139F53">
      <w:pPr>
        <w:rPr>
          <w:rFonts w:hint="default"/>
          <w:sz w:val="28"/>
          <w:szCs w:val="28"/>
          <w:lang w:val="en-US" w:eastAsia="zh-CN"/>
        </w:rPr>
      </w:pPr>
      <w:r>
        <w:rPr>
          <w:rFonts w:hint="default"/>
          <w:sz w:val="28"/>
          <w:szCs w:val="28"/>
          <w:lang w:val="en-US" w:eastAsia="zh-CN"/>
        </w:rPr>
        <w:t>4、质保及售后服务：</w:t>
      </w:r>
    </w:p>
    <w:p w14:paraId="2F2FE731">
      <w:pPr>
        <w:rPr>
          <w:rFonts w:hint="default"/>
          <w:sz w:val="28"/>
          <w:szCs w:val="28"/>
          <w:lang w:val="en-US" w:eastAsia="zh-CN"/>
        </w:rPr>
      </w:pPr>
      <w:r>
        <w:rPr>
          <w:rFonts w:hint="default"/>
          <w:b/>
          <w:bCs/>
          <w:sz w:val="28"/>
          <w:szCs w:val="28"/>
          <w:lang w:val="en-US" w:eastAsia="zh-CN"/>
        </w:rPr>
        <w:t>4.1</w:t>
      </w:r>
      <w:r>
        <w:rPr>
          <w:rFonts w:hint="eastAsia"/>
          <w:b/>
          <w:bCs/>
          <w:sz w:val="28"/>
          <w:szCs w:val="28"/>
          <w:lang w:val="en-US" w:eastAsia="zh-CN"/>
        </w:rPr>
        <w:t>成交供应商</w:t>
      </w:r>
      <w:r>
        <w:rPr>
          <w:rFonts w:hint="default"/>
          <w:b/>
          <w:bCs/>
          <w:sz w:val="28"/>
          <w:szCs w:val="28"/>
          <w:lang w:val="en-US" w:eastAsia="zh-CN"/>
        </w:rPr>
        <w:t>所有货物须提供至少</w:t>
      </w:r>
      <w:r>
        <w:rPr>
          <w:rFonts w:hint="eastAsia"/>
          <w:b/>
          <w:bCs/>
          <w:sz w:val="28"/>
          <w:szCs w:val="28"/>
          <w:lang w:val="en-US" w:eastAsia="zh-CN"/>
        </w:rPr>
        <w:t>2</w:t>
      </w:r>
      <w:r>
        <w:rPr>
          <w:rFonts w:hint="default"/>
          <w:b/>
          <w:bCs/>
          <w:sz w:val="28"/>
          <w:szCs w:val="28"/>
          <w:lang w:val="en-US" w:eastAsia="zh-CN"/>
        </w:rPr>
        <w:t>年的免费质保服务，所有质保费用均已包含在总报价中。</w:t>
      </w:r>
      <w:r>
        <w:rPr>
          <w:rFonts w:hint="default"/>
          <w:sz w:val="28"/>
          <w:szCs w:val="28"/>
          <w:lang w:val="en-US" w:eastAsia="zh-CN"/>
        </w:rPr>
        <w:t>免费质保期满后，应提供优先的有偿售后服务及按不高于</w:t>
      </w:r>
      <w:r>
        <w:rPr>
          <w:rFonts w:hint="eastAsia"/>
          <w:sz w:val="28"/>
          <w:szCs w:val="28"/>
          <w:lang w:val="en-US" w:eastAsia="zh-CN"/>
        </w:rPr>
        <w:t>响应文件</w:t>
      </w:r>
      <w:r>
        <w:rPr>
          <w:rFonts w:hint="default"/>
          <w:sz w:val="28"/>
          <w:szCs w:val="28"/>
          <w:lang w:val="en-US" w:eastAsia="zh-CN"/>
        </w:rPr>
        <w:t>中主要配件、易损件清单所报价格供应原厂零配件等。软件终身免费升级、免费使用。</w:t>
      </w:r>
    </w:p>
    <w:p w14:paraId="18389C2A">
      <w:pPr>
        <w:rPr>
          <w:rFonts w:hint="default"/>
          <w:sz w:val="28"/>
          <w:szCs w:val="28"/>
          <w:lang w:val="en-US" w:eastAsia="zh-CN"/>
        </w:rPr>
      </w:pPr>
      <w:r>
        <w:rPr>
          <w:rFonts w:hint="default"/>
          <w:sz w:val="28"/>
          <w:szCs w:val="28"/>
          <w:lang w:val="en-US" w:eastAsia="zh-CN"/>
        </w:rPr>
        <w:t>4.2</w:t>
      </w:r>
      <w:r>
        <w:rPr>
          <w:rFonts w:hint="eastAsia"/>
          <w:sz w:val="28"/>
          <w:szCs w:val="28"/>
          <w:lang w:val="en-US" w:eastAsia="zh-CN"/>
        </w:rPr>
        <w:t>成交供应商</w:t>
      </w:r>
      <w:r>
        <w:rPr>
          <w:rFonts w:hint="default"/>
          <w:sz w:val="28"/>
          <w:szCs w:val="28"/>
          <w:lang w:val="en-US" w:eastAsia="zh-CN"/>
        </w:rPr>
        <w:t>须设有维修服务电话，负责解答用户在货物使用中遇到的问题，及时提出解决问题的建议和操作方法。</w:t>
      </w:r>
    </w:p>
    <w:p w14:paraId="5B979DFD">
      <w:pPr>
        <w:rPr>
          <w:rFonts w:hint="default"/>
          <w:sz w:val="28"/>
          <w:szCs w:val="28"/>
          <w:lang w:val="en-US" w:eastAsia="zh-CN"/>
        </w:rPr>
      </w:pPr>
      <w:r>
        <w:rPr>
          <w:rFonts w:hint="default"/>
          <w:sz w:val="28"/>
          <w:szCs w:val="28"/>
          <w:lang w:val="en-US" w:eastAsia="zh-CN"/>
        </w:rPr>
        <w:t>4.3售后服务响应时间：如货物出现质量问题，</w:t>
      </w:r>
      <w:r>
        <w:rPr>
          <w:rFonts w:hint="eastAsia"/>
          <w:sz w:val="28"/>
          <w:szCs w:val="28"/>
          <w:lang w:val="en-US" w:eastAsia="zh-CN"/>
        </w:rPr>
        <w:t>成交供应商</w:t>
      </w:r>
      <w:r>
        <w:rPr>
          <w:rFonts w:hint="default"/>
          <w:sz w:val="28"/>
          <w:szCs w:val="28"/>
          <w:lang w:val="en-US" w:eastAsia="zh-CN"/>
        </w:rPr>
        <w:t>须2小时内响应,电话响应无法解决，</w:t>
      </w:r>
      <w:r>
        <w:rPr>
          <w:rFonts w:hint="eastAsia"/>
          <w:sz w:val="28"/>
          <w:szCs w:val="28"/>
          <w:lang w:val="en-US" w:eastAsia="zh-CN"/>
        </w:rPr>
        <w:t>成交供应商</w:t>
      </w:r>
      <w:r>
        <w:rPr>
          <w:rFonts w:hint="default"/>
          <w:sz w:val="28"/>
          <w:szCs w:val="28"/>
          <w:lang w:val="en-US" w:eastAsia="zh-CN"/>
        </w:rPr>
        <w:t>必须在接报修电话24小时内到达现场,48小时内解决问题。如不能解决的，</w:t>
      </w:r>
      <w:r>
        <w:rPr>
          <w:rFonts w:hint="eastAsia"/>
          <w:sz w:val="28"/>
          <w:szCs w:val="28"/>
          <w:lang w:val="en-US" w:eastAsia="zh-CN"/>
        </w:rPr>
        <w:t>成交供应商</w:t>
      </w:r>
      <w:r>
        <w:rPr>
          <w:rFonts w:hint="default"/>
          <w:sz w:val="28"/>
          <w:szCs w:val="28"/>
          <w:lang w:val="en-US" w:eastAsia="zh-CN"/>
        </w:rPr>
        <w:t>需免费提供备品备件供</w:t>
      </w:r>
      <w:r>
        <w:rPr>
          <w:rFonts w:hint="eastAsia"/>
          <w:sz w:val="28"/>
          <w:szCs w:val="28"/>
          <w:lang w:val="en-US" w:eastAsia="zh-CN"/>
        </w:rPr>
        <w:t>采购人</w:t>
      </w:r>
      <w:r>
        <w:rPr>
          <w:rFonts w:hint="default"/>
          <w:sz w:val="28"/>
          <w:szCs w:val="28"/>
          <w:lang w:val="en-US" w:eastAsia="zh-CN"/>
        </w:rPr>
        <w:t>使用。免费质保期内如货物出现质量问题，</w:t>
      </w:r>
      <w:r>
        <w:rPr>
          <w:rFonts w:hint="eastAsia"/>
          <w:sz w:val="28"/>
          <w:szCs w:val="28"/>
          <w:lang w:val="en-US" w:eastAsia="zh-CN"/>
        </w:rPr>
        <w:t>成交供应商</w:t>
      </w:r>
      <w:r>
        <w:rPr>
          <w:rFonts w:hint="default"/>
          <w:sz w:val="28"/>
          <w:szCs w:val="28"/>
          <w:lang w:val="en-US" w:eastAsia="zh-CN"/>
        </w:rPr>
        <w:t>负责免费修复，对于无法修复的情况，</w:t>
      </w:r>
      <w:r>
        <w:rPr>
          <w:rFonts w:hint="eastAsia"/>
          <w:sz w:val="28"/>
          <w:szCs w:val="28"/>
          <w:lang w:val="en-US" w:eastAsia="zh-CN"/>
        </w:rPr>
        <w:t>成交供应商</w:t>
      </w:r>
      <w:r>
        <w:rPr>
          <w:rFonts w:hint="default"/>
          <w:sz w:val="28"/>
          <w:szCs w:val="28"/>
          <w:lang w:val="en-US" w:eastAsia="zh-CN"/>
        </w:rPr>
        <w:t>负责免费更换。</w:t>
      </w:r>
    </w:p>
    <w:p w14:paraId="41F9B140">
      <w:pPr>
        <w:rPr>
          <w:rFonts w:hint="default"/>
          <w:sz w:val="28"/>
          <w:szCs w:val="28"/>
          <w:lang w:val="en-US" w:eastAsia="zh-CN"/>
        </w:rPr>
      </w:pPr>
      <w:r>
        <w:rPr>
          <w:rFonts w:hint="default"/>
          <w:sz w:val="28"/>
          <w:szCs w:val="28"/>
          <w:lang w:val="en-US" w:eastAsia="zh-CN"/>
        </w:rPr>
        <w:t>5、培训：</w:t>
      </w:r>
    </w:p>
    <w:p w14:paraId="0FEF5A23">
      <w:pPr>
        <w:rPr>
          <w:rFonts w:hint="default"/>
          <w:sz w:val="28"/>
          <w:szCs w:val="28"/>
          <w:lang w:val="en-US" w:eastAsia="zh-CN"/>
        </w:rPr>
      </w:pPr>
      <w:r>
        <w:rPr>
          <w:rFonts w:hint="default"/>
          <w:sz w:val="28"/>
          <w:szCs w:val="28"/>
          <w:lang w:val="en-US" w:eastAsia="zh-CN"/>
        </w:rPr>
        <w:t>5.1</w:t>
      </w:r>
      <w:r>
        <w:rPr>
          <w:rFonts w:hint="eastAsia"/>
          <w:sz w:val="28"/>
          <w:szCs w:val="28"/>
          <w:lang w:val="en-US" w:eastAsia="zh-CN"/>
        </w:rPr>
        <w:t>成交供应商</w:t>
      </w:r>
      <w:r>
        <w:rPr>
          <w:rFonts w:hint="default"/>
          <w:sz w:val="28"/>
          <w:szCs w:val="28"/>
          <w:lang w:val="en-US" w:eastAsia="zh-CN"/>
        </w:rPr>
        <w:t>应对</w:t>
      </w:r>
      <w:r>
        <w:rPr>
          <w:rFonts w:hint="eastAsia"/>
          <w:sz w:val="28"/>
          <w:szCs w:val="28"/>
          <w:lang w:val="en-US" w:eastAsia="zh-CN"/>
        </w:rPr>
        <w:t>采购人</w:t>
      </w:r>
      <w:r>
        <w:rPr>
          <w:rFonts w:hint="default"/>
          <w:sz w:val="28"/>
          <w:szCs w:val="28"/>
          <w:lang w:val="en-US" w:eastAsia="zh-CN"/>
        </w:rPr>
        <w:t>的操作人员提供现场培训。</w:t>
      </w:r>
    </w:p>
    <w:p w14:paraId="5E8531DD">
      <w:pPr>
        <w:rPr>
          <w:rFonts w:hint="default"/>
          <w:sz w:val="28"/>
          <w:szCs w:val="28"/>
          <w:lang w:val="en-US" w:eastAsia="zh-CN"/>
        </w:rPr>
      </w:pPr>
      <w:r>
        <w:rPr>
          <w:rFonts w:hint="default"/>
          <w:sz w:val="28"/>
          <w:szCs w:val="28"/>
          <w:lang w:val="en-US" w:eastAsia="zh-CN"/>
        </w:rPr>
        <w:t>5.2现场培训能够根据</w:t>
      </w:r>
      <w:r>
        <w:rPr>
          <w:rFonts w:hint="eastAsia"/>
          <w:sz w:val="28"/>
          <w:szCs w:val="28"/>
          <w:lang w:val="en-US" w:eastAsia="zh-CN"/>
        </w:rPr>
        <w:t>采购人</w:t>
      </w:r>
      <w:r>
        <w:rPr>
          <w:rFonts w:hint="default"/>
          <w:sz w:val="28"/>
          <w:szCs w:val="28"/>
          <w:lang w:val="en-US" w:eastAsia="zh-CN"/>
        </w:rPr>
        <w:t>需要，合理安排，使</w:t>
      </w:r>
      <w:r>
        <w:rPr>
          <w:rFonts w:hint="eastAsia"/>
          <w:sz w:val="28"/>
          <w:szCs w:val="28"/>
          <w:lang w:val="en-US" w:eastAsia="zh-CN"/>
        </w:rPr>
        <w:t>采购人</w:t>
      </w:r>
      <w:r>
        <w:rPr>
          <w:rFonts w:hint="default"/>
          <w:sz w:val="28"/>
          <w:szCs w:val="28"/>
          <w:lang w:val="en-US" w:eastAsia="zh-CN"/>
        </w:rPr>
        <w:t>能够全面掌握设备的工作原理，熟练独立操作设备，并能够对设备进行日常维护与保养，简单故障诊断与排除。</w:t>
      </w:r>
    </w:p>
    <w:p w14:paraId="2F18F42C">
      <w:pPr>
        <w:rPr>
          <w:rFonts w:hint="default"/>
          <w:sz w:val="28"/>
          <w:szCs w:val="28"/>
          <w:lang w:val="en-US" w:eastAsia="zh-CN"/>
        </w:rPr>
      </w:pPr>
      <w:r>
        <w:rPr>
          <w:rFonts w:hint="default"/>
          <w:sz w:val="28"/>
          <w:szCs w:val="28"/>
          <w:lang w:val="en-US" w:eastAsia="zh-CN"/>
        </w:rPr>
        <w:t>5.3培训费用包含在</w:t>
      </w:r>
      <w:r>
        <w:rPr>
          <w:rFonts w:hint="eastAsia"/>
          <w:sz w:val="28"/>
          <w:szCs w:val="28"/>
          <w:lang w:val="en-US" w:eastAsia="zh-CN"/>
        </w:rPr>
        <w:t>总报价</w:t>
      </w:r>
      <w:r>
        <w:rPr>
          <w:rFonts w:hint="default"/>
          <w:sz w:val="28"/>
          <w:szCs w:val="28"/>
          <w:lang w:val="en-US" w:eastAsia="zh-CN"/>
        </w:rPr>
        <w:t>中。</w:t>
      </w:r>
    </w:p>
    <w:p w14:paraId="3ADB89C5">
      <w:pPr>
        <w:rPr>
          <w:rFonts w:hint="default"/>
          <w:b/>
          <w:bCs/>
          <w:sz w:val="28"/>
          <w:szCs w:val="28"/>
          <w:lang w:val="en-US" w:eastAsia="zh-CN"/>
        </w:rPr>
      </w:pPr>
      <w:r>
        <w:rPr>
          <w:rFonts w:hint="default"/>
          <w:b/>
          <w:bCs/>
          <w:sz w:val="28"/>
          <w:szCs w:val="28"/>
          <w:lang w:val="en-US" w:eastAsia="zh-CN"/>
        </w:rPr>
        <w:t>6、供货期：自合同签订之日起</w:t>
      </w:r>
      <w:r>
        <w:rPr>
          <w:rFonts w:hint="eastAsia"/>
          <w:b/>
          <w:bCs/>
          <w:sz w:val="28"/>
          <w:szCs w:val="28"/>
          <w:lang w:val="en-US" w:eastAsia="zh-CN"/>
        </w:rPr>
        <w:t>2</w:t>
      </w:r>
      <w:r>
        <w:rPr>
          <w:rFonts w:hint="default"/>
          <w:b/>
          <w:bCs/>
          <w:sz w:val="28"/>
          <w:szCs w:val="28"/>
          <w:lang w:val="en-US" w:eastAsia="zh-CN"/>
        </w:rPr>
        <w:t>0日内供货并安装调试完毕。</w:t>
      </w:r>
    </w:p>
    <w:p w14:paraId="0B5D972D">
      <w:pPr>
        <w:rPr>
          <w:rFonts w:hint="default"/>
          <w:sz w:val="28"/>
          <w:szCs w:val="28"/>
          <w:lang w:val="en-US" w:eastAsia="zh-CN"/>
        </w:rPr>
      </w:pPr>
      <w:r>
        <w:rPr>
          <w:rFonts w:hint="default"/>
          <w:sz w:val="28"/>
          <w:szCs w:val="28"/>
          <w:lang w:val="en-US" w:eastAsia="zh-CN"/>
        </w:rPr>
        <w:t>7、供货与安装地点：马鞍山市人民医院。</w:t>
      </w:r>
    </w:p>
    <w:p w14:paraId="3129F5C1">
      <w:pPr>
        <w:rPr>
          <w:rFonts w:hint="default"/>
          <w:b/>
          <w:bCs/>
          <w:sz w:val="28"/>
          <w:szCs w:val="28"/>
          <w:lang w:val="en-US" w:eastAsia="zh-CN"/>
        </w:rPr>
      </w:pPr>
      <w:r>
        <w:rPr>
          <w:rFonts w:hint="eastAsia"/>
          <w:b/>
          <w:bCs/>
          <w:sz w:val="28"/>
          <w:szCs w:val="28"/>
          <w:lang w:val="en-US" w:eastAsia="zh-CN"/>
        </w:rPr>
        <w:t>8</w:t>
      </w:r>
      <w:r>
        <w:rPr>
          <w:rFonts w:hint="default"/>
          <w:b/>
          <w:bCs/>
          <w:sz w:val="28"/>
          <w:szCs w:val="28"/>
          <w:lang w:val="en-US" w:eastAsia="zh-CN"/>
        </w:rPr>
        <w:t>、付款方式：</w:t>
      </w:r>
      <w:r>
        <w:rPr>
          <w:rFonts w:hint="eastAsia"/>
          <w:b/>
          <w:bCs/>
          <w:sz w:val="28"/>
          <w:szCs w:val="28"/>
          <w:lang w:val="en-US" w:eastAsia="zh-CN"/>
        </w:rPr>
        <w:t>成交供应商</w:t>
      </w:r>
      <w:r>
        <w:rPr>
          <w:rFonts w:hint="default"/>
          <w:b/>
          <w:bCs/>
          <w:sz w:val="28"/>
          <w:szCs w:val="28"/>
          <w:lang w:val="en-US" w:eastAsia="zh-CN"/>
        </w:rPr>
        <w:t>供货并安装调试完毕，</w:t>
      </w:r>
      <w:r>
        <w:rPr>
          <w:rFonts w:hint="eastAsia"/>
          <w:b/>
          <w:bCs/>
          <w:sz w:val="28"/>
          <w:szCs w:val="28"/>
          <w:lang w:val="en-US" w:eastAsia="zh-CN"/>
        </w:rPr>
        <w:t>采购人</w:t>
      </w:r>
      <w:r>
        <w:rPr>
          <w:rFonts w:hint="default"/>
          <w:b/>
          <w:bCs/>
          <w:sz w:val="28"/>
          <w:szCs w:val="28"/>
          <w:lang w:val="en-US" w:eastAsia="zh-CN"/>
        </w:rPr>
        <w:t>自验收合格之日起30日内支付合同总金额的</w:t>
      </w:r>
      <w:r>
        <w:rPr>
          <w:rFonts w:hint="eastAsia"/>
          <w:b/>
          <w:bCs/>
          <w:sz w:val="28"/>
          <w:szCs w:val="28"/>
          <w:lang w:val="en-US" w:eastAsia="zh-CN"/>
        </w:rPr>
        <w:t>100</w:t>
      </w:r>
      <w:r>
        <w:rPr>
          <w:rFonts w:hint="default"/>
          <w:b/>
          <w:bCs/>
          <w:sz w:val="28"/>
          <w:szCs w:val="28"/>
          <w:lang w:val="en-US" w:eastAsia="zh-CN"/>
        </w:rPr>
        <w:t>%</w:t>
      </w:r>
      <w:r>
        <w:rPr>
          <w:rFonts w:hint="eastAsia"/>
          <w:b/>
          <w:bCs/>
          <w:sz w:val="28"/>
          <w:szCs w:val="28"/>
          <w:lang w:val="en-US" w:eastAsia="zh-CN"/>
        </w:rPr>
        <w:t>。</w:t>
      </w:r>
    </w:p>
    <w:p w14:paraId="2BBE2E5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0C7093"/>
    <w:rsid w:val="510C7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 w:type="paragraph" w:styleId="3">
    <w:name w:val="List"/>
    <w:basedOn w:val="1"/>
    <w:unhideWhenUsed/>
    <w:qFormat/>
    <w:uiPriority w:val="0"/>
    <w:pPr>
      <w:ind w:left="200" w:hanging="200" w:hangingChars="200"/>
    </w:pPr>
    <w:rPr>
      <w:szCs w:val="20"/>
    </w:rPr>
  </w:style>
  <w:style w:type="paragraph" w:styleId="4">
    <w:name w:val="Body Text First Indent 2"/>
    <w:basedOn w:val="2"/>
    <w:next w:val="3"/>
    <w:unhideWhenUsed/>
    <w:qFormat/>
    <w:uiPriority w:val="0"/>
    <w:pPr>
      <w:spacing w:after="120" w:line="360" w:lineRule="auto"/>
      <w:ind w:left="420" w:leftChars="200" w:firstLine="420" w:firstLineChars="200"/>
    </w:pPr>
    <w:rPr>
      <w:rFonts w:eastAsia="仿宋"/>
      <w:sz w:val="32"/>
      <w:szCs w:val="21"/>
    </w:rPr>
  </w:style>
  <w:style w:type="paragraph" w:customStyle="1" w:styleId="7">
    <w:name w:val="BodyText"/>
    <w:basedOn w:val="1"/>
    <w:qFormat/>
    <w:uiPriority w:val="0"/>
    <w:pPr>
      <w:textAlignment w:val="baseline"/>
    </w:pPr>
    <w:rPr>
      <w:rFonts w:ascii="楷体_GB2312" w:eastAsia="楷体_GB2312"/>
      <w:kern w:val="0"/>
      <w:sz w:val="28"/>
      <w:szCs w:val="20"/>
    </w:rPr>
  </w:style>
  <w:style w:type="character" w:customStyle="1" w:styleId="8">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2025-03-11T02:39:00Z</dcterms:created>
  <dc:creator>高杨</dc:creator>
  <cp:lastModifiedBy>高杨</cp:lastModifiedBy>
  <dcterms:modified xsi:type="dcterms:W3CDTF">2025-03-11T02:40:23Z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98E102B9877F4534BE879995C158F329_11</vt:lpwstr>
  </property>
  <property fmtid="{D5CDD505-2E9C-101B-9397-08002B2CF9AE}" pid="4" name="KSOTemplateDocerSaveRecord">
    <vt:lpwstr>eyJoZGlkIjoiMjU5NzRhZDBkZDkwNDZlZDExYzFkOTc4ZWIwMjc2MDAiLCJ1c2VySWQiOiI0OTQ3NTI0ODcifQ==</vt:lpwstr>
  </property>
</Properties>
</file>