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28BA3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小标宋简体" w:cs="Times New Roman"/>
          <w:sz w:val="44"/>
          <w:szCs w:val="44"/>
          <w:lang w:val="en-US" w:eastAsia="zh-CN"/>
        </w:rPr>
      </w:pPr>
      <w:r>
        <w:rPr>
          <w:rFonts w:hint="eastAsia" w:ascii="Times New Roman" w:hAnsi="Times New Roman" w:eastAsia="方正小标宋简体" w:cs="Times New Roman"/>
          <w:sz w:val="44"/>
          <w:szCs w:val="44"/>
          <w:lang w:val="en-US" w:eastAsia="zh-CN"/>
        </w:rPr>
        <w:t>灭火器采购需求</w:t>
      </w:r>
    </w:p>
    <w:p w14:paraId="318DDB0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小标宋简体" w:cs="Times New Roman"/>
          <w:sz w:val="44"/>
          <w:szCs w:val="44"/>
          <w:lang w:val="en-US" w:eastAsia="zh-CN"/>
        </w:rPr>
      </w:pPr>
    </w:p>
    <w:p w14:paraId="2270458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val="0"/>
          <w:bCs w:val="0"/>
          <w:sz w:val="32"/>
          <w:szCs w:val="32"/>
          <w:lang w:val="en-US" w:eastAsia="zh-CN"/>
        </w:rPr>
      </w:pPr>
      <w:r>
        <w:rPr>
          <w:rFonts w:hint="eastAsia" w:ascii="Times New Roman" w:hAnsi="Times New Roman" w:eastAsia="仿宋_GB2312" w:cs="Times New Roman"/>
          <w:b w:val="0"/>
          <w:bCs w:val="0"/>
          <w:sz w:val="32"/>
          <w:szCs w:val="32"/>
          <w:lang w:val="en-US" w:eastAsia="zh-CN"/>
        </w:rPr>
        <w:t>马鞍山市人民医院秀山院区（一期）计划采购850具干粉灭火器，现征集供应商。</w:t>
      </w:r>
    </w:p>
    <w:p w14:paraId="4D508DF5">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黑体" w:cs="Times New Roman"/>
          <w:i w:val="0"/>
          <w:iCs w:val="0"/>
          <w:caps w:val="0"/>
          <w:color w:val="000000"/>
          <w:spacing w:val="0"/>
          <w:sz w:val="32"/>
          <w:szCs w:val="32"/>
          <w:shd w:val="clear" w:fill="FFFFFF"/>
          <w:lang w:val="en-US" w:eastAsia="zh-CN"/>
        </w:rPr>
      </w:pPr>
      <w:r>
        <w:rPr>
          <w:rFonts w:hint="eastAsia" w:ascii="Times New Roman" w:hAnsi="Times New Roman" w:eastAsia="黑体" w:cs="Times New Roman"/>
          <w:i w:val="0"/>
          <w:iCs w:val="0"/>
          <w:caps w:val="0"/>
          <w:color w:val="000000"/>
          <w:spacing w:val="0"/>
          <w:sz w:val="32"/>
          <w:szCs w:val="32"/>
          <w:shd w:val="clear" w:fill="FFFFFF"/>
        </w:rPr>
        <w:t>采购需求</w:t>
      </w:r>
      <w:r>
        <w:rPr>
          <w:rFonts w:hint="eastAsia" w:ascii="Times New Roman" w:hAnsi="Times New Roman" w:eastAsia="黑体" w:cs="Times New Roman"/>
          <w:i w:val="0"/>
          <w:iCs w:val="0"/>
          <w:caps w:val="0"/>
          <w:color w:val="000000"/>
          <w:spacing w:val="0"/>
          <w:sz w:val="32"/>
          <w:szCs w:val="32"/>
          <w:shd w:val="clear" w:fill="FFFFFF"/>
          <w:lang w:val="en-US" w:eastAsia="zh-CN"/>
        </w:rPr>
        <w:t>清单</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8"/>
        <w:gridCol w:w="4443"/>
        <w:gridCol w:w="938"/>
        <w:gridCol w:w="1050"/>
        <w:gridCol w:w="1073"/>
      </w:tblGrid>
      <w:tr w14:paraId="23A56E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7" w:hRule="atLeast"/>
        </w:trPr>
        <w:tc>
          <w:tcPr>
            <w:tcW w:w="1018" w:type="dxa"/>
            <w:vAlign w:val="center"/>
          </w:tcPr>
          <w:p w14:paraId="54A483AA">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b/>
                <w:bCs/>
                <w:sz w:val="32"/>
                <w:szCs w:val="32"/>
                <w:vertAlign w:val="baseline"/>
                <w:lang w:val="en-US" w:eastAsia="zh-CN"/>
              </w:rPr>
            </w:pPr>
            <w:r>
              <w:rPr>
                <w:rFonts w:hint="eastAsia" w:asciiTheme="minorEastAsia" w:hAnsiTheme="minorEastAsia" w:eastAsiaTheme="minorEastAsia" w:cstheme="minorEastAsia"/>
                <w:b/>
                <w:bCs/>
                <w:sz w:val="32"/>
                <w:szCs w:val="32"/>
                <w:vertAlign w:val="baseline"/>
                <w:lang w:val="en-US" w:eastAsia="zh-CN"/>
              </w:rPr>
              <w:t>商品名称</w:t>
            </w:r>
          </w:p>
        </w:tc>
        <w:tc>
          <w:tcPr>
            <w:tcW w:w="4443" w:type="dxa"/>
            <w:vAlign w:val="center"/>
          </w:tcPr>
          <w:p w14:paraId="7E215EDF">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b/>
                <w:bCs/>
                <w:sz w:val="32"/>
                <w:szCs w:val="32"/>
                <w:vertAlign w:val="baseline"/>
                <w:lang w:val="en-US" w:eastAsia="zh-CN"/>
              </w:rPr>
            </w:pPr>
            <w:r>
              <w:rPr>
                <w:rFonts w:hint="eastAsia" w:asciiTheme="minorEastAsia" w:hAnsiTheme="minorEastAsia" w:eastAsiaTheme="minorEastAsia" w:cstheme="minorEastAsia"/>
                <w:b/>
                <w:bCs/>
                <w:sz w:val="32"/>
                <w:szCs w:val="32"/>
                <w:vertAlign w:val="baseline"/>
                <w:lang w:val="en-US" w:eastAsia="zh-CN"/>
              </w:rPr>
              <w:t>参数要求</w:t>
            </w:r>
          </w:p>
        </w:tc>
        <w:tc>
          <w:tcPr>
            <w:tcW w:w="938" w:type="dxa"/>
            <w:vAlign w:val="center"/>
          </w:tcPr>
          <w:p w14:paraId="1C6731DC">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b/>
                <w:bCs/>
                <w:sz w:val="32"/>
                <w:szCs w:val="32"/>
                <w:vertAlign w:val="baseline"/>
                <w:lang w:val="en-US" w:eastAsia="zh-CN"/>
              </w:rPr>
            </w:pPr>
            <w:r>
              <w:rPr>
                <w:rFonts w:hint="eastAsia" w:asciiTheme="minorEastAsia" w:hAnsiTheme="minorEastAsia" w:eastAsiaTheme="minorEastAsia" w:cstheme="minorEastAsia"/>
                <w:b/>
                <w:bCs/>
                <w:sz w:val="32"/>
                <w:szCs w:val="32"/>
                <w:vertAlign w:val="baseline"/>
                <w:lang w:val="en-US" w:eastAsia="zh-CN"/>
              </w:rPr>
              <w:t>购买数量</w:t>
            </w:r>
          </w:p>
        </w:tc>
        <w:tc>
          <w:tcPr>
            <w:tcW w:w="1050" w:type="dxa"/>
            <w:vAlign w:val="center"/>
          </w:tcPr>
          <w:p w14:paraId="6819F286">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b/>
                <w:bCs/>
                <w:sz w:val="32"/>
                <w:szCs w:val="32"/>
                <w:vertAlign w:val="baseline"/>
                <w:lang w:val="en-US" w:eastAsia="zh-CN"/>
              </w:rPr>
            </w:pPr>
            <w:r>
              <w:rPr>
                <w:rFonts w:hint="eastAsia" w:asciiTheme="minorEastAsia" w:hAnsiTheme="minorEastAsia" w:eastAsiaTheme="minorEastAsia" w:cstheme="minorEastAsia"/>
                <w:b/>
                <w:bCs/>
                <w:sz w:val="32"/>
                <w:szCs w:val="32"/>
                <w:vertAlign w:val="baseline"/>
                <w:lang w:val="en-US" w:eastAsia="zh-CN"/>
              </w:rPr>
              <w:t>控制金额</w:t>
            </w:r>
          </w:p>
        </w:tc>
        <w:tc>
          <w:tcPr>
            <w:tcW w:w="1073" w:type="dxa"/>
            <w:vAlign w:val="center"/>
          </w:tcPr>
          <w:p w14:paraId="4B8DB914">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Theme="minorEastAsia" w:hAnsiTheme="minorEastAsia" w:eastAsiaTheme="minorEastAsia" w:cstheme="minorEastAsia"/>
                <w:b/>
                <w:bCs/>
                <w:sz w:val="32"/>
                <w:szCs w:val="32"/>
                <w:vertAlign w:val="baseline"/>
                <w:lang w:val="en-US" w:eastAsia="zh-CN"/>
              </w:rPr>
            </w:pPr>
            <w:r>
              <w:rPr>
                <w:rFonts w:hint="eastAsia" w:asciiTheme="minorEastAsia" w:hAnsiTheme="minorEastAsia" w:cstheme="minorEastAsia"/>
                <w:b/>
                <w:bCs/>
                <w:sz w:val="32"/>
                <w:szCs w:val="32"/>
                <w:vertAlign w:val="baseline"/>
                <w:lang w:val="en-US" w:eastAsia="zh-CN"/>
              </w:rPr>
              <w:t>品牌</w:t>
            </w:r>
          </w:p>
        </w:tc>
      </w:tr>
      <w:tr w14:paraId="21191E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0" w:hRule="atLeast"/>
        </w:trPr>
        <w:tc>
          <w:tcPr>
            <w:tcW w:w="1018" w:type="dxa"/>
            <w:vAlign w:val="center"/>
          </w:tcPr>
          <w:p w14:paraId="71C3A958">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Times New Roman" w:hAnsi="Times New Roman" w:cs="Times New Roman" w:eastAsiaTheme="minorEastAsia"/>
                <w:b w:val="0"/>
                <w:bCs w:val="0"/>
                <w:sz w:val="32"/>
                <w:szCs w:val="32"/>
                <w:vertAlign w:val="baseline"/>
                <w:lang w:val="en-US" w:eastAsia="zh-CN"/>
              </w:rPr>
            </w:pPr>
            <w:r>
              <w:rPr>
                <w:rFonts w:hint="eastAsia" w:ascii="Times New Roman" w:hAnsi="Times New Roman" w:cs="Times New Roman" w:eastAsiaTheme="minorEastAsia"/>
                <w:b w:val="0"/>
                <w:bCs w:val="0"/>
                <w:sz w:val="32"/>
                <w:szCs w:val="32"/>
                <w:vertAlign w:val="baseline"/>
                <w:lang w:val="en-US" w:eastAsia="zh-CN"/>
              </w:rPr>
              <w:t>干粉灭火器</w:t>
            </w:r>
          </w:p>
        </w:tc>
        <w:tc>
          <w:tcPr>
            <w:tcW w:w="4443" w:type="dxa"/>
            <w:vAlign w:val="center"/>
          </w:tcPr>
          <w:p w14:paraId="675EE036">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both"/>
              <w:textAlignment w:val="auto"/>
              <w:rPr>
                <w:rFonts w:hint="eastAsia" w:ascii="Times New Roman" w:hAnsi="Times New Roman" w:cs="Times New Roman" w:eastAsiaTheme="minorEastAsia"/>
                <w:b w:val="0"/>
                <w:bCs w:val="0"/>
                <w:sz w:val="28"/>
                <w:szCs w:val="28"/>
                <w:vertAlign w:val="baseline"/>
                <w:lang w:val="en-US" w:eastAsia="zh-CN"/>
              </w:rPr>
            </w:pPr>
            <w:r>
              <w:rPr>
                <w:rFonts w:hint="eastAsia" w:ascii="Times New Roman" w:hAnsi="Times New Roman" w:cs="Times New Roman" w:eastAsiaTheme="minorEastAsia"/>
                <w:b w:val="0"/>
                <w:bCs w:val="0"/>
                <w:sz w:val="28"/>
                <w:szCs w:val="28"/>
                <w:vertAlign w:val="baseline"/>
                <w:lang w:val="en-US" w:eastAsia="zh-CN"/>
              </w:rPr>
              <w:t>（1）5KG规格手提式干粉灭火器，必须是合格产品且经过消防3C认证，一具一码，需提供合格证书或检测报告。如收货后发现产品质量不合格或假冒伪劣产品，我单位除拒收外，将向平台和市监部门进行举报。</w:t>
            </w:r>
          </w:p>
          <w:p w14:paraId="096D730A">
            <w:pPr>
              <w:keepNext w:val="0"/>
              <w:keepLines w:val="0"/>
              <w:pageBreakBefore w:val="0"/>
              <w:widowControl w:val="0"/>
              <w:numPr>
                <w:ilvl w:val="0"/>
                <w:numId w:val="2"/>
              </w:numPr>
              <w:kinsoku/>
              <w:wordWrap/>
              <w:overflowPunct/>
              <w:topLinePunct w:val="0"/>
              <w:autoSpaceDE/>
              <w:autoSpaceDN/>
              <w:bidi w:val="0"/>
              <w:adjustRightInd/>
              <w:snapToGrid/>
              <w:spacing w:line="360" w:lineRule="exact"/>
              <w:jc w:val="both"/>
              <w:textAlignment w:val="auto"/>
              <w:rPr>
                <w:rFonts w:hint="eastAsia" w:ascii="Times New Roman" w:hAnsi="Times New Roman" w:cs="Times New Roman" w:eastAsiaTheme="minorEastAsia"/>
                <w:b w:val="0"/>
                <w:bCs w:val="0"/>
                <w:sz w:val="28"/>
                <w:szCs w:val="28"/>
                <w:vertAlign w:val="baseline"/>
                <w:lang w:val="en-US" w:eastAsia="zh-CN"/>
              </w:rPr>
            </w:pPr>
            <w:r>
              <w:rPr>
                <w:rFonts w:hint="eastAsia" w:ascii="Times New Roman" w:hAnsi="Times New Roman" w:cs="Times New Roman" w:eastAsiaTheme="minorEastAsia"/>
                <w:b w:val="0"/>
                <w:bCs w:val="0"/>
                <w:sz w:val="28"/>
                <w:szCs w:val="28"/>
                <w:vertAlign w:val="baseline"/>
                <w:lang w:val="en-US" w:eastAsia="zh-CN"/>
              </w:rPr>
              <w:t>供应商除提供灭火器外，还须将现有的灭火器进行替换，替换时需确保不影响现场环境，替换下来的灭火器、灭火器箱存放至医院指定地点。灭火器、灭火器箱替换确保以一换一，逐个替换，保证医院场所的安全。</w:t>
            </w:r>
          </w:p>
          <w:p w14:paraId="0EF951BC">
            <w:pPr>
              <w:keepNext w:val="0"/>
              <w:keepLines w:val="0"/>
              <w:pageBreakBefore w:val="0"/>
              <w:widowControl w:val="0"/>
              <w:numPr>
                <w:ilvl w:val="0"/>
                <w:numId w:val="2"/>
              </w:numPr>
              <w:kinsoku/>
              <w:wordWrap/>
              <w:overflowPunct/>
              <w:topLinePunct w:val="0"/>
              <w:autoSpaceDE/>
              <w:autoSpaceDN/>
              <w:bidi w:val="0"/>
              <w:adjustRightInd/>
              <w:snapToGrid/>
              <w:spacing w:line="360" w:lineRule="exact"/>
              <w:jc w:val="both"/>
              <w:textAlignment w:val="auto"/>
              <w:rPr>
                <w:rFonts w:hint="eastAsia" w:ascii="Times New Roman" w:hAnsi="Times New Roman" w:cs="Times New Roman" w:eastAsiaTheme="minorEastAsia"/>
                <w:b w:val="0"/>
                <w:bCs w:val="0"/>
                <w:sz w:val="28"/>
                <w:szCs w:val="28"/>
                <w:vertAlign w:val="baseline"/>
                <w:lang w:val="en-US" w:eastAsia="zh-CN"/>
              </w:rPr>
            </w:pPr>
            <w:r>
              <w:rPr>
                <w:rFonts w:hint="eastAsia" w:ascii="Times New Roman" w:hAnsi="Times New Roman" w:cs="Times New Roman" w:eastAsiaTheme="minorEastAsia"/>
                <w:b w:val="0"/>
                <w:bCs w:val="0"/>
                <w:sz w:val="28"/>
                <w:szCs w:val="28"/>
                <w:vertAlign w:val="baseline"/>
                <w:lang w:val="en-US" w:eastAsia="zh-CN"/>
              </w:rPr>
              <w:t>中标方需在签订合同后20日内完成供货和现场替换。</w:t>
            </w:r>
          </w:p>
          <w:p w14:paraId="66CD2AD9">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eastAsia" w:ascii="Times New Roman" w:hAnsi="Times New Roman" w:cs="Times New Roman" w:eastAsiaTheme="minorEastAsia"/>
                <w:b w:val="0"/>
                <w:bCs w:val="0"/>
                <w:sz w:val="32"/>
                <w:szCs w:val="32"/>
                <w:vertAlign w:val="baseline"/>
                <w:lang w:val="en-US" w:eastAsia="zh-CN"/>
              </w:rPr>
            </w:pPr>
          </w:p>
        </w:tc>
        <w:tc>
          <w:tcPr>
            <w:tcW w:w="938" w:type="dxa"/>
            <w:vAlign w:val="center"/>
          </w:tcPr>
          <w:p w14:paraId="677BED82">
            <w:pPr>
              <w:keepNext w:val="0"/>
              <w:keepLines w:val="0"/>
              <w:pageBreakBefore w:val="0"/>
              <w:widowControl w:val="0"/>
              <w:numPr>
                <w:ilvl w:val="0"/>
                <w:numId w:val="0"/>
              </w:numPr>
              <w:kinsoku/>
              <w:wordWrap/>
              <w:overflowPunct/>
              <w:topLinePunct w:val="0"/>
              <w:autoSpaceDE/>
              <w:autoSpaceDN/>
              <w:bidi w:val="0"/>
              <w:adjustRightInd/>
              <w:snapToGrid/>
              <w:jc w:val="left"/>
              <w:textAlignment w:val="auto"/>
              <w:rPr>
                <w:rFonts w:hint="eastAsia" w:ascii="Times New Roman" w:hAnsi="Times New Roman" w:cs="Times New Roman" w:eastAsiaTheme="minorEastAsia"/>
                <w:b w:val="0"/>
                <w:bCs w:val="0"/>
                <w:sz w:val="32"/>
                <w:szCs w:val="32"/>
                <w:vertAlign w:val="baseline"/>
                <w:lang w:val="en-US" w:eastAsia="zh-CN"/>
              </w:rPr>
            </w:pPr>
            <w:r>
              <w:rPr>
                <w:rFonts w:hint="eastAsia" w:ascii="Times New Roman" w:hAnsi="Times New Roman" w:cs="Times New Roman" w:eastAsiaTheme="minorEastAsia"/>
                <w:b w:val="0"/>
                <w:bCs w:val="0"/>
                <w:sz w:val="32"/>
                <w:szCs w:val="32"/>
                <w:vertAlign w:val="baseline"/>
                <w:lang w:val="en-US" w:eastAsia="zh-CN"/>
              </w:rPr>
              <w:t>850具</w:t>
            </w:r>
          </w:p>
        </w:tc>
        <w:tc>
          <w:tcPr>
            <w:tcW w:w="1050" w:type="dxa"/>
            <w:vAlign w:val="center"/>
          </w:tcPr>
          <w:p w14:paraId="4FAA4104">
            <w:pPr>
              <w:keepNext w:val="0"/>
              <w:keepLines w:val="0"/>
              <w:pageBreakBefore w:val="0"/>
              <w:widowControl w:val="0"/>
              <w:numPr>
                <w:ilvl w:val="0"/>
                <w:numId w:val="0"/>
              </w:numPr>
              <w:kinsoku/>
              <w:wordWrap/>
              <w:overflowPunct/>
              <w:topLinePunct w:val="0"/>
              <w:autoSpaceDE/>
              <w:autoSpaceDN/>
              <w:bidi w:val="0"/>
              <w:adjustRightInd/>
              <w:snapToGrid/>
              <w:jc w:val="left"/>
              <w:textAlignment w:val="auto"/>
              <w:rPr>
                <w:rFonts w:hint="eastAsia" w:ascii="Times New Roman" w:hAnsi="Times New Roman" w:cs="Times New Roman" w:eastAsiaTheme="minorEastAsia"/>
                <w:b w:val="0"/>
                <w:bCs w:val="0"/>
                <w:sz w:val="32"/>
                <w:szCs w:val="32"/>
                <w:vertAlign w:val="baseline"/>
                <w:lang w:val="en-US" w:eastAsia="zh-CN"/>
              </w:rPr>
            </w:pPr>
            <w:r>
              <w:rPr>
                <w:rFonts w:hint="eastAsia" w:ascii="Times New Roman" w:hAnsi="Times New Roman" w:cs="Times New Roman" w:eastAsiaTheme="minorEastAsia"/>
                <w:b w:val="0"/>
                <w:bCs w:val="0"/>
                <w:sz w:val="32"/>
                <w:szCs w:val="32"/>
                <w:vertAlign w:val="baseline"/>
                <w:lang w:val="en-US" w:eastAsia="zh-CN"/>
              </w:rPr>
              <w:t>63750元</w:t>
            </w:r>
          </w:p>
        </w:tc>
        <w:tc>
          <w:tcPr>
            <w:tcW w:w="1073" w:type="dxa"/>
            <w:vAlign w:val="center"/>
          </w:tcPr>
          <w:p w14:paraId="0A650F9F">
            <w:pPr>
              <w:keepNext w:val="0"/>
              <w:keepLines w:val="0"/>
              <w:pageBreakBefore w:val="0"/>
              <w:widowControl w:val="0"/>
              <w:numPr>
                <w:ilvl w:val="0"/>
                <w:numId w:val="0"/>
              </w:numPr>
              <w:kinsoku/>
              <w:wordWrap/>
              <w:overflowPunct/>
              <w:topLinePunct w:val="0"/>
              <w:autoSpaceDE/>
              <w:autoSpaceDN/>
              <w:bidi w:val="0"/>
              <w:adjustRightInd/>
              <w:snapToGrid/>
              <w:jc w:val="left"/>
              <w:textAlignment w:val="auto"/>
              <w:rPr>
                <w:rFonts w:hint="eastAsia" w:ascii="Times New Roman" w:hAnsi="Times New Roman" w:cs="Times New Roman" w:eastAsiaTheme="minorEastAsia"/>
                <w:b w:val="0"/>
                <w:bCs w:val="0"/>
                <w:sz w:val="32"/>
                <w:szCs w:val="32"/>
                <w:vertAlign w:val="baseline"/>
                <w:lang w:val="en-US" w:eastAsia="zh-CN"/>
              </w:rPr>
            </w:pPr>
            <w:r>
              <w:rPr>
                <w:rFonts w:hint="eastAsia" w:ascii="Times New Roman" w:hAnsi="Times New Roman" w:cs="Times New Roman" w:eastAsiaTheme="minorEastAsia"/>
                <w:b w:val="0"/>
                <w:bCs w:val="0"/>
                <w:sz w:val="32"/>
                <w:szCs w:val="32"/>
                <w:vertAlign w:val="baseline"/>
                <w:lang w:val="en-US" w:eastAsia="zh-CN"/>
              </w:rPr>
              <w:t>龙成、江荆、</w:t>
            </w:r>
          </w:p>
          <w:p w14:paraId="2F733974">
            <w:pPr>
              <w:keepNext w:val="0"/>
              <w:keepLines w:val="0"/>
              <w:pageBreakBefore w:val="0"/>
              <w:widowControl w:val="0"/>
              <w:numPr>
                <w:ilvl w:val="0"/>
                <w:numId w:val="0"/>
              </w:numPr>
              <w:kinsoku/>
              <w:wordWrap/>
              <w:overflowPunct/>
              <w:topLinePunct w:val="0"/>
              <w:autoSpaceDE/>
              <w:autoSpaceDN/>
              <w:bidi w:val="0"/>
              <w:adjustRightInd/>
              <w:snapToGrid/>
              <w:jc w:val="left"/>
              <w:textAlignment w:val="auto"/>
              <w:rPr>
                <w:rFonts w:hint="eastAsia" w:ascii="Times New Roman" w:hAnsi="Times New Roman" w:cs="Times New Roman" w:eastAsiaTheme="minorEastAsia"/>
                <w:b w:val="0"/>
                <w:bCs w:val="0"/>
                <w:sz w:val="32"/>
                <w:szCs w:val="32"/>
                <w:vertAlign w:val="baseline"/>
                <w:lang w:val="en-US" w:eastAsia="zh-CN"/>
              </w:rPr>
            </w:pPr>
            <w:r>
              <w:rPr>
                <w:rFonts w:hint="eastAsia" w:ascii="Times New Roman" w:hAnsi="Times New Roman" w:cs="Times New Roman" w:eastAsiaTheme="minorEastAsia"/>
                <w:b w:val="0"/>
                <w:bCs w:val="0"/>
                <w:sz w:val="32"/>
                <w:szCs w:val="32"/>
                <w:vertAlign w:val="baseline"/>
                <w:lang w:val="en-US" w:eastAsia="zh-CN"/>
              </w:rPr>
              <w:t>淮海</w:t>
            </w:r>
          </w:p>
        </w:tc>
      </w:tr>
      <w:tr w14:paraId="0523E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8522" w:type="dxa"/>
            <w:gridSpan w:val="5"/>
            <w:vAlign w:val="center"/>
          </w:tcPr>
          <w:p w14:paraId="63373493">
            <w:pPr>
              <w:pStyle w:val="2"/>
              <w:ind w:firstLine="0"/>
              <w:rPr>
                <w:rFonts w:hint="eastAsia" w:ascii="Times New Roman" w:hAnsi="Times New Roman" w:cs="Times New Roman" w:eastAsiaTheme="minorEastAsia"/>
                <w:b w:val="0"/>
                <w:bCs w:val="0"/>
                <w:sz w:val="32"/>
                <w:szCs w:val="32"/>
                <w:vertAlign w:val="baseline"/>
                <w:lang w:val="en-US" w:eastAsia="zh-CN"/>
              </w:rPr>
            </w:pPr>
            <w:r>
              <w:rPr>
                <w:rFonts w:hint="eastAsia" w:ascii="Times New Roman" w:hAnsi="Times New Roman" w:cs="Times New Roman"/>
                <w:b w:val="0"/>
                <w:bCs w:val="0"/>
                <w:sz w:val="32"/>
                <w:szCs w:val="32"/>
                <w:vertAlign w:val="baseline"/>
                <w:lang w:val="en-US" w:eastAsia="zh-CN"/>
              </w:rPr>
              <w:tab/>
            </w:r>
            <w:r>
              <w:rPr>
                <w:rFonts w:hint="eastAsia" w:ascii="Times New Roman" w:hAnsi="Times New Roman" w:cs="Times New Roman" w:eastAsiaTheme="minorEastAsia"/>
                <w:b w:val="0"/>
                <w:bCs w:val="0"/>
                <w:kern w:val="2"/>
                <w:sz w:val="28"/>
                <w:szCs w:val="28"/>
                <w:vertAlign w:val="baseline"/>
                <w:lang w:val="en-US" w:eastAsia="zh-CN" w:bidi="ar-SA"/>
              </w:rPr>
              <w:t>备注：投标灭火器不低于以上品牌。</w:t>
            </w:r>
          </w:p>
        </w:tc>
      </w:tr>
    </w:tbl>
    <w:p w14:paraId="2F5C64A2">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黑体" w:cs="Times New Roman"/>
          <w:i w:val="0"/>
          <w:iCs w:val="0"/>
          <w:caps w:val="0"/>
          <w:color w:val="000000"/>
          <w:spacing w:val="0"/>
          <w:sz w:val="32"/>
          <w:szCs w:val="32"/>
          <w:shd w:val="clear" w:fill="FFFFFF"/>
        </w:rPr>
      </w:pPr>
      <w:r>
        <w:rPr>
          <w:rFonts w:hint="eastAsia" w:ascii="Times New Roman" w:hAnsi="Times New Roman" w:eastAsia="黑体" w:cs="Times New Roman"/>
          <w:i w:val="0"/>
          <w:iCs w:val="0"/>
          <w:caps w:val="0"/>
          <w:color w:val="000000"/>
          <w:spacing w:val="0"/>
          <w:sz w:val="32"/>
          <w:szCs w:val="32"/>
          <w:shd w:val="clear" w:fill="FFFFFF"/>
        </w:rPr>
        <w:t>供应商资质要求</w:t>
      </w:r>
    </w:p>
    <w:p w14:paraId="66E0E60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val="0"/>
          <w:bCs w:val="0"/>
          <w:sz w:val="32"/>
          <w:szCs w:val="32"/>
          <w:lang w:val="en-US" w:eastAsia="zh-CN"/>
        </w:rPr>
      </w:pPr>
      <w:r>
        <w:rPr>
          <w:rFonts w:hint="eastAsia" w:ascii="Times New Roman" w:hAnsi="Times New Roman" w:eastAsia="仿宋_GB2312" w:cs="Times New Roman"/>
          <w:b w:val="0"/>
          <w:bCs w:val="0"/>
          <w:sz w:val="32"/>
          <w:szCs w:val="32"/>
          <w:lang w:val="en-US" w:eastAsia="zh-CN"/>
        </w:rPr>
        <w:t>1、本项目报名须提供营业执照及资质证明（复印件）。</w:t>
      </w:r>
    </w:p>
    <w:p w14:paraId="26D8214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val="0"/>
          <w:bCs w:val="0"/>
          <w:sz w:val="32"/>
          <w:szCs w:val="32"/>
          <w:lang w:val="en-US" w:eastAsia="zh-CN"/>
        </w:rPr>
      </w:pPr>
      <w:r>
        <w:rPr>
          <w:rFonts w:hint="eastAsia" w:ascii="Times New Roman" w:hAnsi="Times New Roman" w:eastAsia="仿宋_GB2312" w:cs="Times New Roman"/>
          <w:b w:val="0"/>
          <w:bCs w:val="0"/>
          <w:sz w:val="32"/>
          <w:szCs w:val="32"/>
          <w:lang w:val="en-US" w:eastAsia="zh-CN"/>
        </w:rPr>
        <w:t>2、供应商存在以下不良信用记录情形之一的，不得推荐为中标候选供应商，不得确定为中标供应商：</w:t>
      </w:r>
    </w:p>
    <w:p w14:paraId="526A9F4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val="0"/>
          <w:bCs w:val="0"/>
          <w:sz w:val="32"/>
          <w:szCs w:val="32"/>
          <w:lang w:val="en-US" w:eastAsia="zh-CN"/>
        </w:rPr>
      </w:pPr>
      <w:r>
        <w:rPr>
          <w:rFonts w:hint="eastAsia" w:ascii="Times New Roman" w:hAnsi="Times New Roman" w:eastAsia="仿宋_GB2312" w:cs="Times New Roman"/>
          <w:b w:val="0"/>
          <w:bCs w:val="0"/>
          <w:sz w:val="32"/>
          <w:szCs w:val="32"/>
          <w:lang w:val="en-US" w:eastAsia="zh-CN"/>
        </w:rPr>
        <w:t>（1）供应商被人民法院列入失信被执行人的；</w:t>
      </w:r>
    </w:p>
    <w:p w14:paraId="2EB10A3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val="0"/>
          <w:bCs w:val="0"/>
          <w:sz w:val="32"/>
          <w:szCs w:val="32"/>
          <w:lang w:val="en-US" w:eastAsia="zh-CN"/>
        </w:rPr>
      </w:pPr>
      <w:r>
        <w:rPr>
          <w:rFonts w:hint="eastAsia" w:ascii="Times New Roman" w:hAnsi="Times New Roman" w:eastAsia="仿宋_GB2312" w:cs="Times New Roman"/>
          <w:b w:val="0"/>
          <w:bCs w:val="0"/>
          <w:sz w:val="32"/>
          <w:szCs w:val="32"/>
          <w:lang w:val="en-US" w:eastAsia="zh-CN"/>
        </w:rPr>
        <w:t>（2）供应商被工商行政管理部门列入企业经营异常名录的；</w:t>
      </w:r>
    </w:p>
    <w:p w14:paraId="6D4D141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val="0"/>
          <w:bCs w:val="0"/>
          <w:sz w:val="32"/>
          <w:szCs w:val="32"/>
          <w:lang w:val="en-US" w:eastAsia="zh-CN"/>
        </w:rPr>
      </w:pPr>
      <w:r>
        <w:rPr>
          <w:rFonts w:hint="eastAsia" w:ascii="Times New Roman" w:hAnsi="Times New Roman" w:eastAsia="仿宋_GB2312" w:cs="Times New Roman"/>
          <w:b w:val="0"/>
          <w:bCs w:val="0"/>
          <w:sz w:val="32"/>
          <w:szCs w:val="32"/>
          <w:lang w:val="en-US" w:eastAsia="zh-CN"/>
        </w:rPr>
        <w:t>（3）供应商被税务部门列入重大税收违法案件当事人名单的；</w:t>
      </w:r>
    </w:p>
    <w:p w14:paraId="0701894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val="0"/>
          <w:bCs w:val="0"/>
          <w:sz w:val="32"/>
          <w:szCs w:val="32"/>
          <w:lang w:val="en-US" w:eastAsia="zh-CN"/>
        </w:rPr>
      </w:pPr>
      <w:r>
        <w:rPr>
          <w:rFonts w:hint="eastAsia" w:ascii="Times New Roman" w:hAnsi="Times New Roman" w:eastAsia="仿宋_GB2312" w:cs="Times New Roman"/>
          <w:b w:val="0"/>
          <w:bCs w:val="0"/>
          <w:sz w:val="32"/>
          <w:szCs w:val="32"/>
          <w:lang w:val="en-US" w:eastAsia="zh-CN"/>
        </w:rPr>
        <w:t>（4）供应商被政府采购监管部门列入政府采购严重违法失信行为记录名单的；</w:t>
      </w:r>
    </w:p>
    <w:p w14:paraId="5D80D3B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val="0"/>
          <w:bCs w:val="0"/>
          <w:sz w:val="32"/>
          <w:szCs w:val="32"/>
          <w:lang w:val="en-US" w:eastAsia="zh-CN"/>
        </w:rPr>
      </w:pPr>
      <w:r>
        <w:rPr>
          <w:rFonts w:hint="eastAsia" w:ascii="Times New Roman" w:hAnsi="Times New Roman" w:eastAsia="仿宋_GB2312" w:cs="Times New Roman"/>
          <w:b w:val="0"/>
          <w:bCs w:val="0"/>
          <w:sz w:val="32"/>
          <w:szCs w:val="32"/>
          <w:lang w:val="en-US" w:eastAsia="zh-CN"/>
        </w:rPr>
        <w:t>（5）供应商或其法定代表人或拟派项目经理（项目负责人）被人民检察院列入行贿犯罪档案的。</w:t>
      </w:r>
    </w:p>
    <w:p w14:paraId="59B07AD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b w:val="0"/>
          <w:bCs w:val="0"/>
          <w:sz w:val="32"/>
          <w:szCs w:val="32"/>
          <w:lang w:val="en-US" w:eastAsia="zh-CN"/>
        </w:rPr>
      </w:pPr>
    </w:p>
    <w:p w14:paraId="03E02D0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b w:val="0"/>
          <w:bCs w:val="0"/>
          <w:sz w:val="32"/>
          <w:szCs w:val="32"/>
          <w:lang w:val="en-US" w:eastAsia="zh-CN"/>
        </w:rPr>
      </w:pPr>
      <w:r>
        <w:rPr>
          <w:rFonts w:hint="eastAsia" w:ascii="Times New Roman" w:hAnsi="Times New Roman" w:eastAsia="仿宋_GB2312" w:cs="Times New Roman"/>
          <w:b w:val="0"/>
          <w:bCs w:val="0"/>
          <w:sz w:val="32"/>
          <w:szCs w:val="32"/>
          <w:lang w:val="en-US" w:eastAsia="zh-CN"/>
        </w:rPr>
        <w:t>3、</w:t>
      </w:r>
      <w:r>
        <w:rPr>
          <w:rFonts w:hint="default" w:ascii="Times New Roman" w:hAnsi="Times New Roman" w:eastAsia="仿宋_GB2312" w:cs="Times New Roman"/>
          <w:b w:val="0"/>
          <w:bCs w:val="0"/>
          <w:sz w:val="32"/>
          <w:szCs w:val="32"/>
          <w:lang w:val="en-US" w:eastAsia="zh-CN"/>
        </w:rPr>
        <w:t>质保期五年，</w:t>
      </w:r>
      <w:r>
        <w:rPr>
          <w:rFonts w:hint="eastAsia" w:ascii="Times New Roman" w:hAnsi="Times New Roman" w:eastAsia="仿宋_GB2312" w:cs="Times New Roman"/>
          <w:b w:val="0"/>
          <w:bCs w:val="0"/>
          <w:sz w:val="32"/>
          <w:szCs w:val="32"/>
          <w:lang w:val="en-US" w:eastAsia="zh-CN"/>
        </w:rPr>
        <w:t>灭火器的生产日期不得早于2024年12月1日。供货期：</w:t>
      </w:r>
      <w:r>
        <w:rPr>
          <w:rFonts w:hint="default" w:ascii="Times New Roman" w:hAnsi="Times New Roman" w:eastAsia="仿宋_GB2312" w:cs="Times New Roman"/>
          <w:b w:val="0"/>
          <w:bCs w:val="0"/>
          <w:sz w:val="32"/>
          <w:szCs w:val="32"/>
          <w:lang w:val="en-US" w:eastAsia="zh-CN"/>
        </w:rPr>
        <w:t>在签订合同后20天内完成更换。</w:t>
      </w:r>
      <w:bookmarkStart w:id="0" w:name="_GoBack"/>
      <w:bookmarkEnd w:id="0"/>
    </w:p>
    <w:p w14:paraId="03EA62C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b w:val="0"/>
          <w:bCs w:val="0"/>
          <w:sz w:val="32"/>
          <w:szCs w:val="32"/>
          <w:lang w:val="en-US" w:eastAsia="zh-CN"/>
        </w:rPr>
      </w:pPr>
      <w:r>
        <w:rPr>
          <w:rFonts w:hint="eastAsia" w:ascii="Times New Roman" w:hAnsi="Times New Roman" w:eastAsia="仿宋_GB2312" w:cs="Times New Roman"/>
          <w:b w:val="0"/>
          <w:bCs w:val="0"/>
          <w:sz w:val="32"/>
          <w:szCs w:val="32"/>
          <w:lang w:val="en-US" w:eastAsia="zh-CN"/>
        </w:rPr>
        <w:t>4、</w:t>
      </w:r>
      <w:r>
        <w:rPr>
          <w:rFonts w:hint="default" w:ascii="Times New Roman" w:hAnsi="Times New Roman" w:eastAsia="仿宋_GB2312" w:cs="Times New Roman"/>
          <w:b w:val="0"/>
          <w:bCs w:val="0"/>
          <w:sz w:val="32"/>
          <w:szCs w:val="32"/>
          <w:lang w:val="en-US" w:eastAsia="zh-CN"/>
        </w:rPr>
        <w:t>验收合格后，支付合同全部价款。</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4D"/>
    <w:family w:val="auto"/>
    <w:pitch w:val="default"/>
    <w:sig w:usb0="E0002EFF" w:usb1="C000785B" w:usb2="00000009" w:usb3="00000000" w:csb0="400001FF" w:csb1="FFFF0000"/>
  </w:font>
  <w:font w:name="宋体">
    <w:panose1 w:val="02010600030101010101"/>
    <w:charset w:val="8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A66F9E"/>
    <w:multiLevelType w:val="singleLevel"/>
    <w:tmpl w:val="0AA66F9E"/>
    <w:lvl w:ilvl="0" w:tentative="0">
      <w:start w:val="2"/>
      <w:numFmt w:val="decimal"/>
      <w:suff w:val="nothing"/>
      <w:lvlText w:val="（%1）"/>
      <w:lvlJc w:val="left"/>
    </w:lvl>
  </w:abstractNum>
  <w:abstractNum w:abstractNumId="1">
    <w:nsid w:val="767648A5"/>
    <w:multiLevelType w:val="singleLevel"/>
    <w:tmpl w:val="767648A5"/>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FA5255"/>
    <w:rsid w:val="1C847394"/>
    <w:rsid w:val="29D219E9"/>
    <w:rsid w:val="2F307B88"/>
    <w:rsid w:val="49FA5255"/>
    <w:rsid w:val="6F4722E3"/>
    <w:rsid w:val="77EE20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pPr>
    <w:rPr>
      <w:szCs w:val="20"/>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597</Words>
  <Characters>610</Characters>
  <Lines>0</Lines>
  <Paragraphs>0</Paragraphs>
  <TotalTime>0</TotalTime>
  <ScaleCrop>false</ScaleCrop>
  <LinksUpToDate>false</LinksUpToDate>
  <CharactersWithSpaces>611</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2025-02-06T00:56:00Z</dcterms:created>
  <dc:creator>₩1,000,000</dc:creator>
  <cp:lastModifiedBy>木日勿之大</cp:lastModifiedBy>
  <dcterms:modified xsi:type="dcterms:W3CDTF">2025-02-08T03:15:10Z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C98EDFF694BC46528526B4A4F5DA2889_11</vt:lpwstr>
  </property>
  <property fmtid="{D5CDD505-2E9C-101B-9397-08002B2CF9AE}" pid="4" name="KSOTemplateDocerSaveRecord">
    <vt:lpwstr>eyJoZGlkIjoiZjQzNTVkZDM4MzU2MDIyODFjZDJlMTVkOWMxMzk5ZDYiLCJ1c2VySWQiOiIzMTM5ODA4NjcifQ==</vt:lpwstr>
  </property>
</Properties>
</file>