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bookmarkStart w:id="0" w:name="_GoBack"/>
      <w:bookmarkEnd w:id="0"/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185F2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梅毒甲苯胺红不加热血清试验诊断试剂（TRUST）或梅毒快速血浆反应素诊断试剂（RPR</w:t>
            </w:r>
            <w:r>
              <w:rPr>
                <w:rFonts w:ascii="仿宋_GB2312" w:hAnsi="宋体" w:eastAsia="仿宋_GB2312"/>
                <w:sz w:val="28"/>
                <w:szCs w:val="28"/>
              </w:rPr>
              <w:t>）</w:t>
            </w:r>
          </w:p>
        </w:tc>
      </w:tr>
      <w:tr w14:paraId="2D84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6F9964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42212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 w14:paraId="723E1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A7AA97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检测原理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C2616"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yellow"/>
              </w:rPr>
              <w:t>凝集法</w:t>
            </w:r>
          </w:p>
        </w:tc>
      </w:tr>
      <w:tr w14:paraId="7A2A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C25EA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BC58C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90人份/盒或120人份/盒不等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C86A">
            <w:pPr>
              <w:spacing w:line="700" w:lineRule="exact"/>
              <w:ind w:firstLine="560" w:firstLineChars="200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 w14:paraId="709B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A7CFCD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5F9EB">
            <w:pPr>
              <w:jc w:val="center"/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 w14:paraId="66185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F3B5E4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A48A9B"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抗原悬液、阴阳性对照、专用卡片、专用抗原滴针等，其中专用抗原滴针满足17uL/滴要求，</w:t>
            </w:r>
            <w:r>
              <w:rPr>
                <w:rFonts w:hint="eastAsia" w:ascii="仿宋_GB2312" w:hAnsi="宋体" w:eastAsia="仿宋_GB2312"/>
                <w:sz w:val="28"/>
                <w:szCs w:val="28"/>
                <w:highlight w:val="yellow"/>
              </w:rPr>
              <w:t>符合WS/T 491行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业标准。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9C1DD">
            <w:pPr>
              <w:spacing w:beforeLines="50" w:afterLines="50" w:line="360" w:lineRule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适用于梅毒非特异性抗体检测，检测血清/血浆中类脂质抗体，在一定程度上反映梅毒螺旋体感染宿主的免疫活动状态。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3079C1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68A2D6"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敏感性≥95%；特异性≥95%；最低检出限≤200mIU/mL。</w:t>
            </w:r>
          </w:p>
        </w:tc>
      </w:tr>
      <w:tr w14:paraId="317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7A03D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其他要求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EA7DA8"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1、提供批检合格证明材料；</w:t>
            </w:r>
          </w:p>
          <w:p w14:paraId="64F50A33"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2、协助完成试剂使用前性能验证和抗干扰性能评估。</w:t>
            </w:r>
          </w:p>
        </w:tc>
      </w:tr>
    </w:tbl>
    <w:p w14:paraId="77D7F0CE">
      <w:pPr>
        <w:ind w:firstLine="422" w:firstLineChars="150"/>
        <w:rPr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最高限价：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TRUST：0.45元/人份或RPR：1元/人份</w:t>
      </w:r>
    </w:p>
    <w:p w14:paraId="6BF4F7ED">
      <w:pPr>
        <w:ind w:firstLine="420" w:firstLineChars="150"/>
      </w:pPr>
      <w:r>
        <w:rPr>
          <w:rFonts w:hint="eastAsia"/>
          <w:sz w:val="28"/>
          <w:szCs w:val="28"/>
        </w:rPr>
        <w:t>填表人签名：贺松                   2025年1月13日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1B30779A"/>
    <w:rsid w:val="235906EC"/>
    <w:rsid w:val="24560580"/>
    <w:rsid w:val="291C3A2B"/>
    <w:rsid w:val="3EFE4153"/>
    <w:rsid w:val="54FA7CBD"/>
    <w:rsid w:val="57726AEB"/>
    <w:rsid w:val="58413769"/>
    <w:rsid w:val="63AE2CF6"/>
    <w:rsid w:val="66922324"/>
    <w:rsid w:val="682D5AB2"/>
    <w:rsid w:val="6EDF56FB"/>
    <w:rsid w:val="74AF5AA0"/>
    <w:rsid w:val="74D60645"/>
    <w:rsid w:val="75CE4577"/>
    <w:rsid w:val="7876557E"/>
    <w:rsid w:val="79E82045"/>
    <w:rsid w:val="7AB2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354</Words>
  <Characters>397</Characters>
  <Lines>3</Lines>
  <Paragraphs>1</Paragraphs>
  <TotalTime>3</TotalTime>
  <ScaleCrop>false</ScaleCrop>
  <LinksUpToDate>false</LinksUpToDate>
  <CharactersWithSpaces>433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2025-02-05T06:54:09Z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1C1EF60B295742A8A17C19B94537258B_13</vt:lpwstr>
  </property>
  <property fmtid="{D5CDD505-2E9C-101B-9397-08002B2CF9AE}" pid="4" name="KSOTemplateDocerSaveRecord">
    <vt:lpwstr>eyJoZGlkIjoiM2M0NmNiOTdkZTAwZDQ2YjAzNjA5ZjU0YWJkOGY5MzAiLCJ1c2VySWQiOiI0OTg1NTQzODIifQ==</vt:lpwstr>
  </property>
</Properties>
</file>