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A2519">
      <w:pPr>
        <w:jc w:val="center"/>
        <w:rPr>
          <w:rFonts w:hint="eastAsia" w:ascii="仿宋" w:hAnsi="仿宋" w:eastAsia="仿宋"/>
          <w:b/>
          <w:sz w:val="32"/>
        </w:rPr>
      </w:pPr>
      <w:r>
        <w:rPr>
          <w:rFonts w:hint="eastAsia" w:ascii="仿宋" w:hAnsi="仿宋" w:eastAsia="仿宋"/>
          <w:b/>
          <w:sz w:val="32"/>
        </w:rPr>
        <w:t>技术参数</w:t>
      </w:r>
    </w:p>
    <w:p w14:paraId="74F79826">
      <w:pPr>
        <w:rPr>
          <w:rFonts w:ascii="仿宋" w:hAnsi="仿宋" w:eastAsia="仿宋" w:cs="仿宋"/>
          <w:sz w:val="32"/>
          <w:szCs w:val="36"/>
        </w:rPr>
      </w:pPr>
      <w:r>
        <w:rPr>
          <w:rFonts w:hint="eastAsia" w:ascii="仿宋" w:hAnsi="仿宋" w:eastAsia="仿宋" w:cs="仿宋"/>
          <w:sz w:val="32"/>
          <w:szCs w:val="36"/>
        </w:rPr>
        <w:t>项目名称：马鞍山市人民医院秀山院区口腔科家具采购</w:t>
      </w:r>
    </w:p>
    <w:p w14:paraId="2819ADCA">
      <w:pPr>
        <w:rPr>
          <w:rFonts w:ascii="仿宋" w:hAnsi="仿宋" w:eastAsia="仿宋" w:cs="仿宋"/>
          <w:sz w:val="32"/>
          <w:szCs w:val="36"/>
        </w:rPr>
      </w:pPr>
      <w:r>
        <w:rPr>
          <w:rFonts w:hint="eastAsia" w:ascii="仿宋" w:hAnsi="仿宋" w:eastAsia="仿宋" w:cs="仿宋"/>
          <w:sz w:val="32"/>
          <w:szCs w:val="36"/>
        </w:rPr>
        <w:t>预算金额：7.2万元</w:t>
      </w:r>
    </w:p>
    <w:p w14:paraId="1730C769">
      <w:pPr>
        <w:rPr>
          <w:rFonts w:ascii="仿宋" w:hAnsi="仿宋" w:eastAsia="仿宋" w:cs="仿宋"/>
          <w:sz w:val="32"/>
          <w:szCs w:val="36"/>
        </w:rPr>
      </w:pPr>
      <w:r>
        <w:rPr>
          <w:rFonts w:hint="eastAsia" w:ascii="仿宋" w:hAnsi="仿宋" w:eastAsia="仿宋" w:cs="仿宋"/>
          <w:sz w:val="32"/>
          <w:szCs w:val="36"/>
        </w:rPr>
        <w:t>合同履行期限：工期：20天</w:t>
      </w:r>
    </w:p>
    <w:p w14:paraId="7C0AF10C">
      <w:pPr>
        <w:pStyle w:val="3"/>
        <w:jc w:val="both"/>
        <w:rPr>
          <w:rFonts w:hint="eastAsia"/>
        </w:rPr>
      </w:pPr>
      <w:r>
        <w:rPr>
          <w:rFonts w:hint="eastAsia" w:ascii="仿宋" w:hAnsi="仿宋" w:eastAsia="仿宋" w:cs="仿宋"/>
          <w:szCs w:val="36"/>
        </w:rPr>
        <w:t>评标方法：最低价</w:t>
      </w:r>
    </w:p>
    <w:p w14:paraId="3091EC4A">
      <w:pPr>
        <w:pStyle w:val="3"/>
        <w:jc w:val="both"/>
        <w:rPr>
          <w:rFonts w:hint="eastAsia"/>
        </w:rPr>
      </w:pPr>
      <w:r>
        <w:rPr>
          <w:rFonts w:hint="eastAsia" w:ascii="仿宋" w:hAnsi="仿宋" w:eastAsia="仿宋" w:cs="仿宋"/>
          <w:szCs w:val="36"/>
        </w:rPr>
        <w:t>付款方式：验收合格后，支付合同全部价款。</w:t>
      </w:r>
    </w:p>
    <w:p w14:paraId="508BED83">
      <w:pPr>
        <w:rPr>
          <w:rFonts w:ascii="仿宋" w:hAnsi="仿宋" w:eastAsia="仿宋" w:cs="仿宋"/>
          <w:sz w:val="32"/>
          <w:szCs w:val="36"/>
        </w:rPr>
      </w:pPr>
      <w:r>
        <w:rPr>
          <w:rFonts w:hint="eastAsia" w:ascii="仿宋" w:hAnsi="仿宋" w:eastAsia="仿宋" w:cs="仿宋"/>
          <w:sz w:val="32"/>
          <w:szCs w:val="36"/>
        </w:rPr>
        <w:t>资质要求：1.满足《中华人民共和国政府采购法》第二十二条规定；</w:t>
      </w:r>
    </w:p>
    <w:p w14:paraId="6E0159D8">
      <w:pPr>
        <w:numPr>
          <w:ilvl w:val="0"/>
          <w:numId w:val="1"/>
        </w:numPr>
        <w:ind w:left="1260" w:firstLine="420"/>
        <w:rPr>
          <w:rFonts w:ascii="仿宋" w:hAnsi="仿宋" w:eastAsia="仿宋" w:cs="仿宋"/>
          <w:sz w:val="32"/>
          <w:szCs w:val="36"/>
        </w:rPr>
      </w:pPr>
      <w:r>
        <w:rPr>
          <w:rFonts w:hint="eastAsia" w:ascii="仿宋" w:hAnsi="仿宋" w:eastAsia="仿宋" w:cs="仿宋"/>
          <w:sz w:val="32"/>
          <w:szCs w:val="36"/>
        </w:rPr>
        <w:t>资质要求：营业执照范围包含家具生产或销售的相关资质。</w:t>
      </w:r>
    </w:p>
    <w:p w14:paraId="1F12039A">
      <w:pPr>
        <w:numPr>
          <w:ilvl w:val="0"/>
          <w:numId w:val="1"/>
        </w:numPr>
        <w:ind w:left="1260" w:firstLine="420"/>
        <w:rPr>
          <w:rFonts w:ascii="仿宋" w:hAnsi="仿宋" w:eastAsia="仿宋" w:cs="仿宋"/>
          <w:sz w:val="32"/>
          <w:szCs w:val="36"/>
        </w:rPr>
      </w:pPr>
      <w:r>
        <w:rPr>
          <w:rFonts w:hint="eastAsia" w:ascii="仿宋" w:hAnsi="仿宋" w:eastAsia="仿宋" w:cs="仿宋"/>
          <w:sz w:val="32"/>
          <w:szCs w:val="36"/>
        </w:rPr>
        <w:t>单位负责人参加投标时需随身携带本人身份证原件及营业执照复印件，授权代表参加投标时需随身携带本人身份证原件及单位负责人授权书（附单位负责人身份证复印件及被授权人身份证复印件）</w:t>
      </w:r>
    </w:p>
    <w:p w14:paraId="74FB6435">
      <w:pPr>
        <w:numPr>
          <w:ilvl w:val="0"/>
          <w:numId w:val="1"/>
        </w:numPr>
        <w:ind w:left="1260" w:firstLine="420"/>
        <w:rPr>
          <w:rFonts w:ascii="仿宋" w:hAnsi="仿宋" w:eastAsia="仿宋" w:cs="仿宋"/>
          <w:sz w:val="32"/>
          <w:szCs w:val="36"/>
        </w:rPr>
      </w:pPr>
      <w:r>
        <w:rPr>
          <w:rFonts w:hint="eastAsia" w:ascii="仿宋" w:hAnsi="仿宋" w:eastAsia="仿宋" w:cs="仿宋"/>
          <w:sz w:val="32"/>
          <w:szCs w:val="36"/>
        </w:rPr>
        <w:t>不接受联合体投标</w:t>
      </w:r>
    </w:p>
    <w:p w14:paraId="6B60EE07">
      <w:pPr>
        <w:ind w:left="1680"/>
        <w:rPr>
          <w:rFonts w:ascii="仿宋" w:hAnsi="仿宋" w:eastAsia="仿宋" w:cs="仿宋"/>
          <w:sz w:val="32"/>
          <w:szCs w:val="36"/>
        </w:rPr>
      </w:pPr>
    </w:p>
    <w:p w14:paraId="56592B6E">
      <w:pPr>
        <w:jc w:val="center"/>
        <w:rPr>
          <w:rFonts w:ascii="宋体" w:hAnsi="宋体" w:eastAsia="宋体" w:cs="宋体"/>
          <w:sz w:val="36"/>
          <w:szCs w:val="36"/>
        </w:rPr>
      </w:pPr>
      <w:r>
        <w:rPr>
          <w:rFonts w:hint="eastAsia" w:ascii="宋体" w:hAnsi="宋体" w:eastAsia="宋体" w:cs="宋体"/>
          <w:sz w:val="36"/>
          <w:szCs w:val="36"/>
        </w:rPr>
        <w:t>口腔科家具清单</w:t>
      </w:r>
    </w:p>
    <w:tbl>
      <w:tblPr>
        <w:tblStyle w:val="5"/>
        <w:tblW w:w="500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
        <w:gridCol w:w="707"/>
        <w:gridCol w:w="1119"/>
        <w:gridCol w:w="634"/>
        <w:gridCol w:w="2637"/>
        <w:gridCol w:w="3020"/>
      </w:tblGrid>
      <w:tr w14:paraId="538A8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 w:type="pct"/>
            <w:vAlign w:val="center"/>
          </w:tcPr>
          <w:p w14:paraId="67AE1D5E">
            <w:pPr>
              <w:jc w:val="center"/>
              <w:rPr>
                <w:rFonts w:ascii="宋体" w:hAnsi="宋体" w:eastAsia="宋体" w:cs="宋体"/>
                <w:b/>
                <w:bCs/>
                <w:sz w:val="24"/>
              </w:rPr>
            </w:pPr>
            <w:r>
              <w:rPr>
                <w:rFonts w:hint="eastAsia" w:ascii="宋体" w:hAnsi="宋体" w:eastAsia="宋体" w:cs="宋体"/>
                <w:b/>
                <w:bCs/>
                <w:sz w:val="24"/>
              </w:rPr>
              <w:t>序号</w:t>
            </w:r>
          </w:p>
        </w:tc>
        <w:tc>
          <w:tcPr>
            <w:tcW w:w="414" w:type="pct"/>
            <w:vAlign w:val="center"/>
          </w:tcPr>
          <w:p w14:paraId="60F55771">
            <w:pPr>
              <w:jc w:val="center"/>
              <w:rPr>
                <w:rFonts w:ascii="宋体" w:hAnsi="宋体" w:eastAsia="宋体" w:cs="宋体"/>
                <w:b/>
                <w:bCs/>
                <w:sz w:val="24"/>
              </w:rPr>
            </w:pPr>
            <w:r>
              <w:rPr>
                <w:rFonts w:hint="eastAsia" w:ascii="宋体" w:hAnsi="宋体" w:eastAsia="宋体" w:cs="宋体"/>
                <w:b/>
                <w:bCs/>
                <w:sz w:val="24"/>
              </w:rPr>
              <w:t>类型</w:t>
            </w:r>
          </w:p>
        </w:tc>
        <w:tc>
          <w:tcPr>
            <w:tcW w:w="655" w:type="pct"/>
            <w:vAlign w:val="center"/>
          </w:tcPr>
          <w:p w14:paraId="3F103DBB">
            <w:pPr>
              <w:jc w:val="center"/>
              <w:rPr>
                <w:rFonts w:ascii="宋体" w:hAnsi="宋体" w:eastAsia="宋体" w:cs="宋体"/>
                <w:b/>
                <w:bCs/>
                <w:sz w:val="24"/>
              </w:rPr>
            </w:pPr>
            <w:r>
              <w:rPr>
                <w:rFonts w:hint="eastAsia" w:ascii="宋体" w:hAnsi="宋体" w:eastAsia="宋体" w:cs="宋体"/>
                <w:b/>
                <w:bCs/>
                <w:sz w:val="24"/>
              </w:rPr>
              <w:t>规格</w:t>
            </w:r>
          </w:p>
        </w:tc>
        <w:tc>
          <w:tcPr>
            <w:tcW w:w="371" w:type="pct"/>
            <w:vAlign w:val="center"/>
          </w:tcPr>
          <w:p w14:paraId="077A90AF">
            <w:pPr>
              <w:jc w:val="center"/>
              <w:rPr>
                <w:rFonts w:hint="default" w:ascii="宋体" w:hAnsi="宋体" w:eastAsia="宋体" w:cs="宋体"/>
                <w:b/>
                <w:bCs/>
                <w:sz w:val="24"/>
                <w:lang w:val="en-US" w:eastAsia="zh-CN"/>
              </w:rPr>
            </w:pPr>
            <w:r>
              <w:rPr>
                <w:rFonts w:hint="eastAsia" w:ascii="宋体" w:hAnsi="宋体" w:eastAsia="宋体" w:cs="宋体"/>
                <w:b/>
                <w:bCs/>
                <w:sz w:val="24"/>
              </w:rPr>
              <w:t>数量</w:t>
            </w:r>
            <w:r>
              <w:rPr>
                <w:rFonts w:hint="eastAsia" w:ascii="宋体" w:hAnsi="宋体" w:cs="宋体"/>
                <w:b/>
                <w:bCs/>
                <w:sz w:val="24"/>
                <w:lang w:val="en-US" w:eastAsia="zh-CN"/>
              </w:rPr>
              <w:t>/单位</w:t>
            </w:r>
          </w:p>
        </w:tc>
        <w:tc>
          <w:tcPr>
            <w:tcW w:w="1545" w:type="pct"/>
            <w:vAlign w:val="center"/>
          </w:tcPr>
          <w:p w14:paraId="27EC2728">
            <w:pPr>
              <w:jc w:val="center"/>
              <w:rPr>
                <w:rFonts w:ascii="宋体" w:hAnsi="宋体" w:eastAsia="宋体" w:cs="宋体"/>
                <w:b/>
                <w:bCs/>
                <w:sz w:val="24"/>
              </w:rPr>
            </w:pPr>
            <w:r>
              <w:rPr>
                <w:rFonts w:hint="eastAsia" w:ascii="宋体" w:hAnsi="宋体" w:eastAsia="宋体" w:cs="宋体"/>
                <w:b/>
                <w:bCs/>
                <w:sz w:val="24"/>
              </w:rPr>
              <w:t>备注</w:t>
            </w:r>
          </w:p>
        </w:tc>
        <w:tc>
          <w:tcPr>
            <w:tcW w:w="1769" w:type="pct"/>
            <w:vAlign w:val="center"/>
          </w:tcPr>
          <w:p w14:paraId="7ECE8480">
            <w:pPr>
              <w:jc w:val="center"/>
              <w:rPr>
                <w:rFonts w:ascii="宋体" w:hAnsi="宋体" w:eastAsia="宋体" w:cs="宋体"/>
                <w:b/>
                <w:bCs/>
                <w:sz w:val="24"/>
              </w:rPr>
            </w:pPr>
            <w:r>
              <w:rPr>
                <w:rFonts w:hint="eastAsia" w:ascii="宋体" w:hAnsi="宋体" w:eastAsia="宋体" w:cs="宋体"/>
                <w:b/>
                <w:bCs/>
                <w:sz w:val="24"/>
              </w:rPr>
              <w:t>参考图片</w:t>
            </w:r>
          </w:p>
        </w:tc>
      </w:tr>
      <w:tr w14:paraId="4B93E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43" w:type="pct"/>
            <w:vAlign w:val="center"/>
          </w:tcPr>
          <w:p w14:paraId="29A521CC">
            <w:pPr>
              <w:jc w:val="center"/>
              <w:rPr>
                <w:rFonts w:ascii="宋体" w:hAnsi="宋体" w:eastAsia="宋体" w:cs="宋体"/>
                <w:sz w:val="24"/>
              </w:rPr>
            </w:pPr>
            <w:r>
              <w:rPr>
                <w:rFonts w:hint="eastAsia" w:ascii="宋体" w:hAnsi="宋体" w:eastAsia="宋体" w:cs="宋体"/>
                <w:sz w:val="24"/>
              </w:rPr>
              <w:t>1</w:t>
            </w:r>
          </w:p>
        </w:tc>
        <w:tc>
          <w:tcPr>
            <w:tcW w:w="414" w:type="pct"/>
            <w:vAlign w:val="center"/>
          </w:tcPr>
          <w:p w14:paraId="1917F902">
            <w:pPr>
              <w:jc w:val="center"/>
              <w:rPr>
                <w:rFonts w:hint="eastAsia" w:ascii="宋体" w:hAnsi="宋体" w:eastAsia="宋体" w:cs="宋体"/>
                <w:sz w:val="24"/>
                <w:lang w:val="en-US" w:eastAsia="zh-CN"/>
              </w:rPr>
            </w:pPr>
            <w:r>
              <w:rPr>
                <w:rFonts w:hint="eastAsia" w:ascii="宋体" w:hAnsi="宋体" w:eastAsia="宋体" w:cs="宋体"/>
                <w:sz w:val="24"/>
              </w:rPr>
              <w:t>治疗台</w:t>
            </w:r>
            <w:r>
              <w:rPr>
                <w:rFonts w:hint="eastAsia" w:ascii="宋体" w:hAnsi="宋体" w:cs="宋体"/>
                <w:sz w:val="24"/>
                <w:lang w:val="en-US" w:eastAsia="zh-CN"/>
              </w:rPr>
              <w:t>A</w:t>
            </w:r>
          </w:p>
        </w:tc>
        <w:tc>
          <w:tcPr>
            <w:tcW w:w="655" w:type="pct"/>
            <w:vAlign w:val="center"/>
          </w:tcPr>
          <w:p w14:paraId="2D0A5BFC">
            <w:pPr>
              <w:jc w:val="center"/>
              <w:rPr>
                <w:rFonts w:ascii="宋体" w:hAnsi="宋体" w:eastAsia="宋体" w:cs="宋体"/>
                <w:sz w:val="24"/>
              </w:rPr>
            </w:pPr>
            <w:r>
              <w:rPr>
                <w:rFonts w:hint="eastAsia" w:ascii="宋体" w:hAnsi="宋体" w:eastAsia="宋体" w:cs="宋体"/>
                <w:sz w:val="24"/>
              </w:rPr>
              <w:t>2400*500*800</w:t>
            </w:r>
          </w:p>
        </w:tc>
        <w:tc>
          <w:tcPr>
            <w:tcW w:w="371" w:type="pct"/>
            <w:vAlign w:val="center"/>
          </w:tcPr>
          <w:p w14:paraId="0445E40D">
            <w:pPr>
              <w:jc w:val="center"/>
              <w:rPr>
                <w:rFonts w:hint="eastAsia" w:ascii="宋体" w:hAnsi="宋体" w:eastAsia="宋体" w:cs="宋体"/>
                <w:sz w:val="24"/>
                <w:lang w:val="en-US" w:eastAsia="zh-CN"/>
              </w:rPr>
            </w:pPr>
            <w:r>
              <w:rPr>
                <w:rFonts w:hint="eastAsia" w:ascii="宋体" w:hAnsi="宋体" w:eastAsia="宋体" w:cs="宋体"/>
                <w:sz w:val="24"/>
              </w:rPr>
              <w:t>3</w:t>
            </w:r>
            <w:r>
              <w:rPr>
                <w:rFonts w:hint="eastAsia" w:ascii="宋体" w:hAnsi="宋体" w:cs="宋体"/>
                <w:sz w:val="24"/>
                <w:lang w:val="en-US" w:eastAsia="zh-CN"/>
              </w:rPr>
              <w:t>组</w:t>
            </w:r>
          </w:p>
        </w:tc>
        <w:tc>
          <w:tcPr>
            <w:tcW w:w="1545" w:type="pct"/>
            <w:shd w:val="clear" w:color="auto" w:fill="auto"/>
            <w:vAlign w:val="center"/>
          </w:tcPr>
          <w:p w14:paraId="7E08D938">
            <w:pPr>
              <w:widowControl/>
              <w:numPr>
                <w:ilvl w:val="0"/>
                <w:numId w:val="2"/>
              </w:numPr>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柜体:优质电解钢板1.0MM      2、门板:优质电解钢板1.0MM</w:t>
            </w:r>
          </w:p>
          <w:p w14:paraId="71D6F12E">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3、使用304#不锈钢作为地脚线</w:t>
            </w:r>
          </w:p>
          <w:p w14:paraId="6D61B38A">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4、台面：复合亚克力医用人造石台面（含1个水池和感应式水龙头）</w:t>
            </w:r>
          </w:p>
          <w:p w14:paraId="60985833">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5、配件:使用一字折弯斜拉手、缓冲门铰、三级滑轨</w:t>
            </w:r>
          </w:p>
        </w:tc>
        <w:tc>
          <w:tcPr>
            <w:tcW w:w="1769" w:type="pct"/>
            <w:vAlign w:val="center"/>
          </w:tcPr>
          <w:p w14:paraId="44C2D944">
            <w:pPr>
              <w:jc w:val="center"/>
              <w:rPr>
                <w:rFonts w:ascii="宋体" w:hAnsi="宋体" w:eastAsia="宋体" w:cs="宋体"/>
                <w:sz w:val="24"/>
              </w:rPr>
            </w:pPr>
            <w:r>
              <w:drawing>
                <wp:inline distT="0" distB="0" distL="114300" distR="114300">
                  <wp:extent cx="1670685" cy="1307465"/>
                  <wp:effectExtent l="0" t="0" r="12065" b="1016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1670685" cy="1307465"/>
                          </a:xfrm>
                          <a:prstGeom prst="rect">
                            <a:avLst/>
                          </a:prstGeom>
                          <a:noFill/>
                          <a:ln>
                            <a:noFill/>
                          </a:ln>
                        </pic:spPr>
                      </pic:pic>
                    </a:graphicData>
                  </a:graphic>
                </wp:inline>
              </w:drawing>
            </w:r>
          </w:p>
        </w:tc>
      </w:tr>
      <w:tr w14:paraId="02A6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43" w:type="pct"/>
            <w:vAlign w:val="center"/>
          </w:tcPr>
          <w:p w14:paraId="3A2F9512">
            <w:pPr>
              <w:jc w:val="center"/>
              <w:rPr>
                <w:rFonts w:ascii="宋体" w:hAnsi="宋体" w:eastAsia="宋体" w:cs="宋体"/>
                <w:sz w:val="24"/>
              </w:rPr>
            </w:pPr>
            <w:r>
              <w:rPr>
                <w:rFonts w:hint="eastAsia" w:ascii="宋体" w:hAnsi="宋体" w:eastAsia="宋体" w:cs="宋体"/>
                <w:sz w:val="24"/>
              </w:rPr>
              <w:t>2</w:t>
            </w:r>
          </w:p>
        </w:tc>
        <w:tc>
          <w:tcPr>
            <w:tcW w:w="414" w:type="pct"/>
            <w:vAlign w:val="center"/>
          </w:tcPr>
          <w:p w14:paraId="55720A78">
            <w:pPr>
              <w:jc w:val="center"/>
              <w:rPr>
                <w:rFonts w:hint="eastAsia" w:ascii="宋体" w:hAnsi="宋体" w:eastAsia="宋体" w:cs="宋体"/>
                <w:sz w:val="24"/>
                <w:lang w:val="en-US" w:eastAsia="zh-CN"/>
              </w:rPr>
            </w:pPr>
            <w:r>
              <w:rPr>
                <w:rFonts w:hint="eastAsia" w:ascii="宋体" w:hAnsi="宋体" w:eastAsia="宋体" w:cs="宋体"/>
                <w:sz w:val="24"/>
              </w:rPr>
              <w:t>治疗台</w:t>
            </w:r>
            <w:r>
              <w:rPr>
                <w:rFonts w:hint="eastAsia" w:ascii="宋体" w:hAnsi="宋体" w:cs="宋体"/>
                <w:sz w:val="24"/>
                <w:lang w:val="en-US" w:eastAsia="zh-CN"/>
              </w:rPr>
              <w:t>B</w:t>
            </w:r>
          </w:p>
        </w:tc>
        <w:tc>
          <w:tcPr>
            <w:tcW w:w="655" w:type="pct"/>
            <w:vAlign w:val="center"/>
          </w:tcPr>
          <w:p w14:paraId="6D82D839">
            <w:pPr>
              <w:jc w:val="center"/>
              <w:rPr>
                <w:rFonts w:ascii="宋体" w:hAnsi="宋体" w:eastAsia="宋体" w:cs="宋体"/>
                <w:sz w:val="24"/>
              </w:rPr>
            </w:pPr>
            <w:r>
              <w:rPr>
                <w:rFonts w:hint="eastAsia" w:ascii="宋体" w:hAnsi="宋体" w:eastAsia="宋体" w:cs="宋体"/>
                <w:sz w:val="24"/>
              </w:rPr>
              <w:t>3000*500*800</w:t>
            </w:r>
          </w:p>
        </w:tc>
        <w:tc>
          <w:tcPr>
            <w:tcW w:w="371" w:type="pct"/>
            <w:vAlign w:val="center"/>
          </w:tcPr>
          <w:p w14:paraId="13AF460B">
            <w:pPr>
              <w:jc w:val="center"/>
              <w:rPr>
                <w:rFonts w:ascii="宋体" w:hAnsi="宋体" w:eastAsia="宋体" w:cs="宋体"/>
                <w:sz w:val="24"/>
              </w:rPr>
            </w:pPr>
            <w:r>
              <w:rPr>
                <w:rFonts w:hint="eastAsia" w:ascii="宋体" w:hAnsi="宋体" w:eastAsia="宋体" w:cs="宋体"/>
                <w:sz w:val="24"/>
              </w:rPr>
              <w:t>2</w:t>
            </w:r>
            <w:r>
              <w:rPr>
                <w:rFonts w:hint="eastAsia" w:ascii="宋体" w:hAnsi="宋体" w:cs="宋体"/>
                <w:sz w:val="24"/>
                <w:lang w:val="en-US" w:eastAsia="zh-CN"/>
              </w:rPr>
              <w:t>组</w:t>
            </w:r>
          </w:p>
        </w:tc>
        <w:tc>
          <w:tcPr>
            <w:tcW w:w="1545" w:type="pct"/>
            <w:vAlign w:val="center"/>
          </w:tcPr>
          <w:p w14:paraId="3546036D">
            <w:pPr>
              <w:widowControl/>
              <w:numPr>
                <w:ilvl w:val="0"/>
                <w:numId w:val="3"/>
              </w:numPr>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 xml:space="preserve">柜体:优质电解钢板1.0MM     </w:t>
            </w:r>
          </w:p>
          <w:p w14:paraId="2166D6D5">
            <w:pPr>
              <w:widowControl/>
              <w:numPr>
                <w:ilvl w:val="0"/>
                <w:numId w:val="3"/>
              </w:numPr>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 xml:space="preserve"> 2、门板:优质电解钢板1.0MM</w:t>
            </w:r>
          </w:p>
          <w:p w14:paraId="79E672F6">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3、使用304#不锈钢作为地脚线</w:t>
            </w:r>
          </w:p>
          <w:p w14:paraId="016A02F5">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4、台面：复合亚克力医用人造石台面</w:t>
            </w:r>
          </w:p>
          <w:p w14:paraId="45048CAE">
            <w:pPr>
              <w:jc w:val="center"/>
              <w:rPr>
                <w:rFonts w:ascii="宋体" w:hAnsi="宋体" w:eastAsia="宋体" w:cs="宋体"/>
                <w:sz w:val="24"/>
              </w:rPr>
            </w:pPr>
            <w:r>
              <w:rPr>
                <w:rFonts w:hint="eastAsia" w:ascii="宋体" w:hAnsi="宋体" w:eastAsia="宋体" w:cs="宋体"/>
                <w:color w:val="000000"/>
                <w:kern w:val="0"/>
                <w:sz w:val="18"/>
                <w:szCs w:val="18"/>
                <w:lang w:bidi="ar"/>
              </w:rPr>
              <w:t>5、配件:使用一字折弯斜拉手、缓冲门铰、三级滑轨</w:t>
            </w:r>
          </w:p>
        </w:tc>
        <w:tc>
          <w:tcPr>
            <w:tcW w:w="1769" w:type="pct"/>
            <w:vAlign w:val="center"/>
          </w:tcPr>
          <w:p w14:paraId="06EAF899">
            <w:pPr>
              <w:jc w:val="center"/>
              <w:rPr>
                <w:rFonts w:ascii="宋体" w:hAnsi="宋体" w:eastAsia="宋体" w:cs="宋体"/>
                <w:sz w:val="24"/>
              </w:rPr>
            </w:pPr>
            <w:r>
              <w:drawing>
                <wp:inline distT="0" distB="0" distL="114300" distR="114300">
                  <wp:extent cx="1662430" cy="615315"/>
                  <wp:effectExtent l="0" t="0" r="4445" b="381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1662430" cy="615315"/>
                          </a:xfrm>
                          <a:prstGeom prst="rect">
                            <a:avLst/>
                          </a:prstGeom>
                          <a:noFill/>
                          <a:ln>
                            <a:noFill/>
                          </a:ln>
                        </pic:spPr>
                      </pic:pic>
                    </a:graphicData>
                  </a:graphic>
                </wp:inline>
              </w:drawing>
            </w:r>
          </w:p>
        </w:tc>
      </w:tr>
      <w:tr w14:paraId="7565F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43" w:type="pct"/>
            <w:vAlign w:val="center"/>
          </w:tcPr>
          <w:p w14:paraId="5BA531BC">
            <w:pPr>
              <w:jc w:val="center"/>
              <w:rPr>
                <w:rFonts w:ascii="宋体" w:hAnsi="宋体" w:eastAsia="宋体" w:cs="宋体"/>
                <w:sz w:val="24"/>
              </w:rPr>
            </w:pPr>
            <w:r>
              <w:rPr>
                <w:rFonts w:hint="eastAsia" w:ascii="宋体" w:hAnsi="宋体" w:eastAsia="宋体" w:cs="宋体"/>
                <w:sz w:val="24"/>
              </w:rPr>
              <w:t>3</w:t>
            </w:r>
          </w:p>
        </w:tc>
        <w:tc>
          <w:tcPr>
            <w:tcW w:w="414" w:type="pct"/>
            <w:vAlign w:val="center"/>
          </w:tcPr>
          <w:p w14:paraId="36304563">
            <w:pPr>
              <w:jc w:val="center"/>
              <w:rPr>
                <w:rFonts w:hint="eastAsia" w:ascii="宋体" w:hAnsi="宋体" w:eastAsia="宋体" w:cs="宋体"/>
                <w:sz w:val="24"/>
                <w:lang w:val="en-US" w:eastAsia="zh-CN"/>
              </w:rPr>
            </w:pPr>
            <w:r>
              <w:rPr>
                <w:rFonts w:hint="eastAsia" w:ascii="宋体" w:hAnsi="宋体" w:eastAsia="宋体" w:cs="宋体"/>
                <w:sz w:val="24"/>
              </w:rPr>
              <w:t>治疗台</w:t>
            </w:r>
            <w:r>
              <w:rPr>
                <w:rFonts w:hint="eastAsia" w:ascii="宋体" w:hAnsi="宋体" w:cs="宋体"/>
                <w:sz w:val="24"/>
                <w:lang w:val="en-US" w:eastAsia="zh-CN"/>
              </w:rPr>
              <w:t>C</w:t>
            </w:r>
          </w:p>
        </w:tc>
        <w:tc>
          <w:tcPr>
            <w:tcW w:w="655" w:type="pct"/>
            <w:vAlign w:val="center"/>
          </w:tcPr>
          <w:p w14:paraId="5DABF8A1">
            <w:pPr>
              <w:jc w:val="center"/>
              <w:rPr>
                <w:rFonts w:ascii="宋体" w:hAnsi="宋体" w:eastAsia="宋体" w:cs="宋体"/>
                <w:sz w:val="24"/>
              </w:rPr>
            </w:pPr>
            <w:r>
              <w:rPr>
                <w:rFonts w:hint="eastAsia" w:ascii="宋体" w:hAnsi="宋体" w:eastAsia="宋体" w:cs="宋体"/>
                <w:sz w:val="24"/>
              </w:rPr>
              <w:t>2580*500*800</w:t>
            </w:r>
          </w:p>
        </w:tc>
        <w:tc>
          <w:tcPr>
            <w:tcW w:w="371" w:type="pct"/>
            <w:vAlign w:val="center"/>
          </w:tcPr>
          <w:p w14:paraId="4AA61454">
            <w:pPr>
              <w:jc w:val="center"/>
              <w:rPr>
                <w:rFonts w:ascii="宋体" w:hAnsi="宋体" w:eastAsia="宋体" w:cs="宋体"/>
                <w:sz w:val="24"/>
              </w:rPr>
            </w:pPr>
            <w:r>
              <w:rPr>
                <w:rFonts w:hint="eastAsia" w:ascii="宋体" w:hAnsi="宋体" w:eastAsia="宋体" w:cs="宋体"/>
                <w:sz w:val="24"/>
              </w:rPr>
              <w:t>1</w:t>
            </w:r>
            <w:r>
              <w:rPr>
                <w:rFonts w:hint="eastAsia" w:ascii="宋体" w:hAnsi="宋体" w:cs="宋体"/>
                <w:sz w:val="24"/>
                <w:lang w:val="en-US" w:eastAsia="zh-CN"/>
              </w:rPr>
              <w:t>组</w:t>
            </w:r>
          </w:p>
        </w:tc>
        <w:tc>
          <w:tcPr>
            <w:tcW w:w="1545" w:type="pct"/>
            <w:vAlign w:val="center"/>
          </w:tcPr>
          <w:p w14:paraId="35AA99B2">
            <w:pPr>
              <w:widowControl/>
              <w:numPr>
                <w:ilvl w:val="0"/>
                <w:numId w:val="2"/>
              </w:numPr>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柜体:优质电解钢板1.0MM      2、门板:优质电解钢板1.0MM</w:t>
            </w:r>
          </w:p>
          <w:p w14:paraId="225462E6">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3、使用304#不锈钢作为地脚线</w:t>
            </w:r>
          </w:p>
          <w:p w14:paraId="4A78353D">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4、台面：复合亚克力医用人造石台面</w:t>
            </w:r>
          </w:p>
          <w:p w14:paraId="10F2AE03">
            <w:pPr>
              <w:jc w:val="center"/>
              <w:rPr>
                <w:rFonts w:ascii="宋体" w:hAnsi="宋体" w:eastAsia="宋体" w:cs="宋体"/>
                <w:sz w:val="24"/>
              </w:rPr>
            </w:pPr>
            <w:r>
              <w:rPr>
                <w:rFonts w:hint="eastAsia" w:ascii="宋体" w:hAnsi="宋体" w:eastAsia="宋体" w:cs="宋体"/>
                <w:color w:val="000000"/>
                <w:kern w:val="0"/>
                <w:sz w:val="18"/>
                <w:szCs w:val="18"/>
                <w:lang w:bidi="ar"/>
              </w:rPr>
              <w:t>5、配件:使用一字折弯斜拉手、缓冲门铰、三级滑轨</w:t>
            </w:r>
          </w:p>
        </w:tc>
        <w:tc>
          <w:tcPr>
            <w:tcW w:w="1769" w:type="pct"/>
            <w:vAlign w:val="center"/>
          </w:tcPr>
          <w:p w14:paraId="7C698382">
            <w:pPr>
              <w:jc w:val="center"/>
            </w:pPr>
            <w:r>
              <w:drawing>
                <wp:inline distT="0" distB="0" distL="114300" distR="114300">
                  <wp:extent cx="1662430" cy="615315"/>
                  <wp:effectExtent l="0" t="0" r="4445" b="381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5"/>
                          <a:stretch>
                            <a:fillRect/>
                          </a:stretch>
                        </pic:blipFill>
                        <pic:spPr>
                          <a:xfrm>
                            <a:off x="0" y="0"/>
                            <a:ext cx="1662430" cy="615315"/>
                          </a:xfrm>
                          <a:prstGeom prst="rect">
                            <a:avLst/>
                          </a:prstGeom>
                          <a:noFill/>
                          <a:ln>
                            <a:noFill/>
                          </a:ln>
                        </pic:spPr>
                      </pic:pic>
                    </a:graphicData>
                  </a:graphic>
                </wp:inline>
              </w:drawing>
            </w:r>
          </w:p>
        </w:tc>
      </w:tr>
      <w:tr w14:paraId="08159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43" w:type="pct"/>
            <w:vAlign w:val="center"/>
          </w:tcPr>
          <w:p w14:paraId="718EF335">
            <w:pPr>
              <w:jc w:val="center"/>
              <w:rPr>
                <w:rFonts w:ascii="宋体" w:hAnsi="宋体" w:eastAsia="宋体" w:cs="宋体"/>
                <w:sz w:val="24"/>
              </w:rPr>
            </w:pPr>
            <w:r>
              <w:rPr>
                <w:rFonts w:hint="eastAsia" w:ascii="宋体" w:hAnsi="宋体" w:eastAsia="宋体" w:cs="宋体"/>
                <w:sz w:val="24"/>
              </w:rPr>
              <w:t>4</w:t>
            </w:r>
          </w:p>
        </w:tc>
        <w:tc>
          <w:tcPr>
            <w:tcW w:w="414" w:type="pct"/>
            <w:vAlign w:val="center"/>
          </w:tcPr>
          <w:p w14:paraId="65FC346D">
            <w:pPr>
              <w:jc w:val="center"/>
              <w:rPr>
                <w:rFonts w:ascii="宋体" w:hAnsi="宋体" w:eastAsia="宋体" w:cs="宋体"/>
                <w:sz w:val="24"/>
              </w:rPr>
            </w:pPr>
            <w:r>
              <w:rPr>
                <w:rFonts w:hint="eastAsia" w:ascii="宋体" w:hAnsi="宋体" w:eastAsia="宋体" w:cs="宋体"/>
                <w:sz w:val="24"/>
              </w:rPr>
              <w:t>L行转角治疗台</w:t>
            </w:r>
          </w:p>
        </w:tc>
        <w:tc>
          <w:tcPr>
            <w:tcW w:w="655" w:type="pct"/>
            <w:vAlign w:val="center"/>
          </w:tcPr>
          <w:p w14:paraId="46292BCE">
            <w:pPr>
              <w:jc w:val="center"/>
              <w:rPr>
                <w:rFonts w:ascii="宋体" w:hAnsi="宋体" w:eastAsia="宋体" w:cs="宋体"/>
                <w:sz w:val="24"/>
              </w:rPr>
            </w:pPr>
            <w:r>
              <w:rPr>
                <w:rFonts w:hint="eastAsia" w:ascii="宋体" w:hAnsi="宋体" w:eastAsia="宋体" w:cs="宋体"/>
                <w:sz w:val="24"/>
              </w:rPr>
              <w:t>左边2900*500*800</w:t>
            </w:r>
          </w:p>
          <w:p w14:paraId="78C314D1">
            <w:pPr>
              <w:jc w:val="center"/>
              <w:rPr>
                <w:rFonts w:ascii="宋体" w:hAnsi="宋体" w:eastAsia="宋体" w:cs="宋体"/>
                <w:sz w:val="24"/>
              </w:rPr>
            </w:pPr>
            <w:r>
              <w:rPr>
                <w:rFonts w:hint="eastAsia" w:ascii="宋体" w:hAnsi="宋体" w:eastAsia="宋体" w:cs="宋体"/>
                <w:sz w:val="24"/>
              </w:rPr>
              <w:t>右边2118*600*800</w:t>
            </w:r>
          </w:p>
        </w:tc>
        <w:tc>
          <w:tcPr>
            <w:tcW w:w="371" w:type="pct"/>
            <w:vAlign w:val="center"/>
          </w:tcPr>
          <w:p w14:paraId="1AA35442">
            <w:pPr>
              <w:jc w:val="center"/>
              <w:rPr>
                <w:rFonts w:ascii="宋体" w:hAnsi="宋体" w:eastAsia="宋体" w:cs="宋体"/>
                <w:sz w:val="24"/>
              </w:rPr>
            </w:pPr>
            <w:r>
              <w:rPr>
                <w:rFonts w:hint="eastAsia" w:ascii="宋体" w:hAnsi="宋体" w:eastAsia="宋体" w:cs="宋体"/>
                <w:sz w:val="24"/>
              </w:rPr>
              <w:t>1</w:t>
            </w:r>
            <w:r>
              <w:rPr>
                <w:rFonts w:hint="eastAsia" w:ascii="宋体" w:hAnsi="宋体" w:cs="宋体"/>
                <w:sz w:val="24"/>
                <w:lang w:val="en-US" w:eastAsia="zh-CN"/>
              </w:rPr>
              <w:t>组</w:t>
            </w:r>
          </w:p>
        </w:tc>
        <w:tc>
          <w:tcPr>
            <w:tcW w:w="1545" w:type="pct"/>
            <w:vAlign w:val="center"/>
          </w:tcPr>
          <w:p w14:paraId="130C9EED">
            <w:pPr>
              <w:widowControl/>
              <w:numPr>
                <w:ilvl w:val="0"/>
                <w:numId w:val="2"/>
              </w:numPr>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柜体:优质电解钢板1.0MM      2、门板:优质电解钢板1.0MM</w:t>
            </w:r>
          </w:p>
          <w:p w14:paraId="44919B7A">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3、使用304#不锈钢作为地脚线</w:t>
            </w:r>
          </w:p>
          <w:p w14:paraId="4384D568">
            <w:pPr>
              <w:widowControl/>
              <w:jc w:val="left"/>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4、台面：复合亚克力医用人造石台面（含3个水池和3个伸缩式水龙头）</w:t>
            </w:r>
          </w:p>
          <w:p w14:paraId="784ABB24">
            <w:pPr>
              <w:jc w:val="left"/>
              <w:rPr>
                <w:rFonts w:ascii="宋体" w:hAnsi="宋体" w:eastAsia="宋体" w:cs="宋体"/>
                <w:sz w:val="24"/>
              </w:rPr>
            </w:pPr>
            <w:r>
              <w:rPr>
                <w:rFonts w:hint="eastAsia" w:ascii="宋体" w:hAnsi="宋体" w:eastAsia="宋体" w:cs="宋体"/>
                <w:color w:val="000000"/>
                <w:kern w:val="0"/>
                <w:sz w:val="18"/>
                <w:szCs w:val="18"/>
                <w:lang w:bidi="ar"/>
              </w:rPr>
              <w:t>5、配件:使用一字折弯斜拉手、缓冲门铰、三级滑轨</w:t>
            </w:r>
          </w:p>
        </w:tc>
        <w:tc>
          <w:tcPr>
            <w:tcW w:w="1769" w:type="pct"/>
            <w:vAlign w:val="center"/>
          </w:tcPr>
          <w:p w14:paraId="36892869">
            <w:pPr>
              <w:jc w:val="center"/>
              <w:rPr>
                <w:rFonts w:ascii="宋体" w:hAnsi="宋体" w:eastAsia="宋体" w:cs="宋体"/>
                <w:sz w:val="24"/>
              </w:rPr>
            </w:pPr>
            <w:r>
              <w:drawing>
                <wp:inline distT="0" distB="0" distL="114300" distR="114300">
                  <wp:extent cx="1671320" cy="485140"/>
                  <wp:effectExtent l="0" t="0" r="1143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1671320" cy="485140"/>
                          </a:xfrm>
                          <a:prstGeom prst="rect">
                            <a:avLst/>
                          </a:prstGeom>
                          <a:noFill/>
                          <a:ln>
                            <a:noFill/>
                          </a:ln>
                        </pic:spPr>
                      </pic:pic>
                    </a:graphicData>
                  </a:graphic>
                </wp:inline>
              </w:drawing>
            </w:r>
          </w:p>
        </w:tc>
      </w:tr>
      <w:tr w14:paraId="2D3F4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43" w:type="pct"/>
            <w:vAlign w:val="center"/>
          </w:tcPr>
          <w:p w14:paraId="1EB4BBCC">
            <w:pPr>
              <w:jc w:val="center"/>
              <w:rPr>
                <w:rFonts w:ascii="宋体" w:hAnsi="宋体" w:eastAsia="宋体" w:cs="宋体"/>
                <w:sz w:val="24"/>
              </w:rPr>
            </w:pPr>
            <w:r>
              <w:rPr>
                <w:rFonts w:hint="eastAsia" w:ascii="宋体" w:hAnsi="宋体" w:eastAsia="宋体" w:cs="宋体"/>
                <w:sz w:val="24"/>
              </w:rPr>
              <w:t>5</w:t>
            </w:r>
          </w:p>
        </w:tc>
        <w:tc>
          <w:tcPr>
            <w:tcW w:w="414" w:type="pct"/>
            <w:vAlign w:val="center"/>
          </w:tcPr>
          <w:p w14:paraId="59373CE1">
            <w:pPr>
              <w:jc w:val="center"/>
              <w:rPr>
                <w:rFonts w:ascii="宋体" w:hAnsi="宋体" w:eastAsia="宋体" w:cs="宋体"/>
                <w:sz w:val="24"/>
              </w:rPr>
            </w:pPr>
            <w:r>
              <w:rPr>
                <w:rFonts w:hint="eastAsia" w:ascii="宋体" w:hAnsi="宋体" w:eastAsia="宋体" w:cs="宋体"/>
                <w:sz w:val="24"/>
              </w:rPr>
              <w:t>隔断垃圾桶柜</w:t>
            </w:r>
          </w:p>
        </w:tc>
        <w:tc>
          <w:tcPr>
            <w:tcW w:w="655" w:type="pct"/>
            <w:vAlign w:val="center"/>
          </w:tcPr>
          <w:p w14:paraId="6E714D7A">
            <w:pPr>
              <w:jc w:val="center"/>
              <w:rPr>
                <w:rFonts w:ascii="宋体" w:hAnsi="宋体" w:eastAsia="宋体" w:cs="宋体"/>
                <w:sz w:val="24"/>
              </w:rPr>
            </w:pPr>
            <w:r>
              <w:rPr>
                <w:rFonts w:hint="eastAsia" w:ascii="宋体" w:hAnsi="宋体" w:eastAsia="宋体" w:cs="宋体"/>
                <w:sz w:val="24"/>
              </w:rPr>
              <w:t>1100*500*1600</w:t>
            </w:r>
          </w:p>
        </w:tc>
        <w:tc>
          <w:tcPr>
            <w:tcW w:w="371" w:type="pct"/>
            <w:vAlign w:val="center"/>
          </w:tcPr>
          <w:p w14:paraId="224417FF">
            <w:pPr>
              <w:jc w:val="center"/>
              <w:rPr>
                <w:rFonts w:ascii="宋体" w:hAnsi="宋体" w:eastAsia="宋体" w:cs="宋体"/>
                <w:sz w:val="24"/>
              </w:rPr>
            </w:pPr>
            <w:r>
              <w:rPr>
                <w:rFonts w:hint="eastAsia" w:ascii="宋体" w:hAnsi="宋体" w:eastAsia="宋体" w:cs="宋体"/>
                <w:sz w:val="24"/>
              </w:rPr>
              <w:t>1</w:t>
            </w:r>
            <w:r>
              <w:rPr>
                <w:rFonts w:hint="eastAsia" w:ascii="宋体" w:hAnsi="宋体" w:cs="宋体"/>
                <w:sz w:val="24"/>
                <w:lang w:val="en-US" w:eastAsia="zh-CN"/>
              </w:rPr>
              <w:t>组</w:t>
            </w:r>
          </w:p>
        </w:tc>
        <w:tc>
          <w:tcPr>
            <w:tcW w:w="1545" w:type="pct"/>
            <w:vAlign w:val="center"/>
          </w:tcPr>
          <w:p w14:paraId="0357BFB4">
            <w:pPr>
              <w:jc w:val="center"/>
              <w:rPr>
                <w:rFonts w:ascii="宋体" w:hAnsi="宋体" w:eastAsia="宋体" w:cs="宋体"/>
                <w:sz w:val="24"/>
              </w:rPr>
            </w:pPr>
            <w:r>
              <w:rPr>
                <w:rFonts w:hint="eastAsia" w:ascii="宋体" w:hAnsi="宋体" w:eastAsia="宋体" w:cs="宋体"/>
                <w:sz w:val="24"/>
              </w:rPr>
              <w:t>铝合金复合隔断，中间两个脚踩式垃圾桶，上连置物架</w:t>
            </w:r>
          </w:p>
        </w:tc>
        <w:tc>
          <w:tcPr>
            <w:tcW w:w="1769" w:type="pct"/>
            <w:vAlign w:val="center"/>
          </w:tcPr>
          <w:p w14:paraId="1623076E">
            <w:pPr>
              <w:jc w:val="center"/>
              <w:rPr>
                <w:rFonts w:ascii="宋体" w:hAnsi="宋体" w:eastAsia="宋体" w:cs="宋体"/>
                <w:sz w:val="24"/>
              </w:rPr>
            </w:pPr>
            <w:r>
              <w:drawing>
                <wp:inline distT="0" distB="0" distL="114300" distR="114300">
                  <wp:extent cx="925830" cy="1315720"/>
                  <wp:effectExtent l="0" t="0" r="10795"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925830" cy="1315720"/>
                          </a:xfrm>
                          <a:prstGeom prst="rect">
                            <a:avLst/>
                          </a:prstGeom>
                          <a:noFill/>
                          <a:ln>
                            <a:noFill/>
                          </a:ln>
                        </pic:spPr>
                      </pic:pic>
                    </a:graphicData>
                  </a:graphic>
                </wp:inline>
              </w:drawing>
            </w:r>
            <w:r>
              <w:rPr>
                <w:rFonts w:hint="eastAsia" w:ascii="宋体" w:hAnsi="宋体" w:eastAsia="宋体" w:cs="宋体"/>
                <w:sz w:val="24"/>
              </w:rPr>
              <w:t xml:space="preserve"> </w:t>
            </w:r>
          </w:p>
        </w:tc>
      </w:tr>
      <w:tr w14:paraId="151BE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243" w:type="pct"/>
            <w:vAlign w:val="center"/>
          </w:tcPr>
          <w:p w14:paraId="13BAD617">
            <w:pPr>
              <w:jc w:val="center"/>
              <w:rPr>
                <w:rFonts w:ascii="宋体" w:hAnsi="宋体" w:eastAsia="宋体" w:cs="宋体"/>
                <w:sz w:val="24"/>
              </w:rPr>
            </w:pPr>
            <w:r>
              <w:rPr>
                <w:rFonts w:hint="eastAsia" w:ascii="宋体" w:hAnsi="宋体" w:eastAsia="宋体" w:cs="宋体"/>
                <w:sz w:val="24"/>
              </w:rPr>
              <w:t>6</w:t>
            </w:r>
          </w:p>
        </w:tc>
        <w:tc>
          <w:tcPr>
            <w:tcW w:w="414" w:type="pct"/>
            <w:vAlign w:val="center"/>
          </w:tcPr>
          <w:p w14:paraId="46C8E822">
            <w:pPr>
              <w:jc w:val="center"/>
              <w:rPr>
                <w:rFonts w:ascii="宋体" w:hAnsi="宋体" w:eastAsia="宋体" w:cs="宋体"/>
                <w:sz w:val="24"/>
              </w:rPr>
            </w:pPr>
            <w:r>
              <w:rPr>
                <w:rFonts w:hint="eastAsia" w:ascii="宋体" w:hAnsi="宋体" w:eastAsia="宋体" w:cs="宋体"/>
                <w:sz w:val="24"/>
              </w:rPr>
              <w:t>隔断</w:t>
            </w:r>
          </w:p>
        </w:tc>
        <w:tc>
          <w:tcPr>
            <w:tcW w:w="655" w:type="pct"/>
            <w:vAlign w:val="center"/>
          </w:tcPr>
          <w:p w14:paraId="46FEB7B5">
            <w:pPr>
              <w:jc w:val="center"/>
              <w:rPr>
                <w:rFonts w:ascii="宋体" w:hAnsi="宋体" w:eastAsia="宋体" w:cs="宋体"/>
                <w:sz w:val="24"/>
              </w:rPr>
            </w:pPr>
            <w:r>
              <w:rPr>
                <w:rFonts w:hint="eastAsia" w:ascii="宋体" w:hAnsi="宋体" w:eastAsia="宋体" w:cs="宋体"/>
                <w:sz w:val="24"/>
              </w:rPr>
              <w:t>2900*200*1800</w:t>
            </w:r>
          </w:p>
        </w:tc>
        <w:tc>
          <w:tcPr>
            <w:tcW w:w="371" w:type="pct"/>
            <w:vAlign w:val="center"/>
          </w:tcPr>
          <w:p w14:paraId="3C495121">
            <w:pPr>
              <w:jc w:val="center"/>
              <w:rPr>
                <w:rFonts w:ascii="宋体" w:hAnsi="宋体" w:eastAsia="宋体" w:cs="宋体"/>
                <w:sz w:val="24"/>
              </w:rPr>
            </w:pPr>
            <w:r>
              <w:rPr>
                <w:rFonts w:hint="eastAsia" w:ascii="宋体" w:hAnsi="宋体" w:eastAsia="宋体" w:cs="宋体"/>
                <w:sz w:val="24"/>
              </w:rPr>
              <w:t>2</w:t>
            </w:r>
            <w:r>
              <w:rPr>
                <w:rFonts w:hint="eastAsia" w:ascii="宋体" w:hAnsi="宋体" w:cs="宋体"/>
                <w:sz w:val="24"/>
                <w:lang w:val="en-US" w:eastAsia="zh-CN"/>
              </w:rPr>
              <w:t>组</w:t>
            </w:r>
          </w:p>
        </w:tc>
        <w:tc>
          <w:tcPr>
            <w:tcW w:w="1545" w:type="pct"/>
            <w:vAlign w:val="center"/>
          </w:tcPr>
          <w:p w14:paraId="4F7EC238">
            <w:pPr>
              <w:rPr>
                <w:rFonts w:ascii="宋体" w:hAnsi="宋体" w:eastAsia="宋体" w:cs="宋体"/>
                <w:sz w:val="24"/>
              </w:rPr>
            </w:pPr>
            <w:r>
              <w:rPr>
                <w:rFonts w:hint="eastAsia" w:ascii="宋体" w:hAnsi="宋体" w:eastAsia="宋体" w:cs="宋体"/>
                <w:sz w:val="24"/>
              </w:rPr>
              <w:t>隔断牢固，底座离地900MM，底座外包覆不锈钢，底座上为11mm厚钢化磨砂玻璃，总体高度达到1800mm。</w:t>
            </w:r>
          </w:p>
        </w:tc>
        <w:tc>
          <w:tcPr>
            <w:tcW w:w="1769" w:type="pct"/>
            <w:vAlign w:val="center"/>
          </w:tcPr>
          <w:p w14:paraId="288EE110">
            <w:pPr>
              <w:jc w:val="center"/>
            </w:pPr>
            <w:r>
              <w:rPr>
                <w:rFonts w:hint="eastAsia"/>
              </w:rPr>
              <w:drawing>
                <wp:inline distT="0" distB="0" distL="114300" distR="114300">
                  <wp:extent cx="793750" cy="1412240"/>
                  <wp:effectExtent l="0" t="0" r="0" b="635"/>
                  <wp:docPr id="7" name="图片 6" descr="39587f7e4b386a6392e93e288dc0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39587f7e4b386a6392e93e288dc0729"/>
                          <pic:cNvPicPr>
                            <a:picLocks noChangeAspect="1"/>
                          </pic:cNvPicPr>
                        </pic:nvPicPr>
                        <pic:blipFill>
                          <a:blip r:embed="rId8"/>
                          <a:stretch>
                            <a:fillRect/>
                          </a:stretch>
                        </pic:blipFill>
                        <pic:spPr>
                          <a:xfrm>
                            <a:off x="0" y="0"/>
                            <a:ext cx="793750" cy="1412240"/>
                          </a:xfrm>
                          <a:prstGeom prst="rect">
                            <a:avLst/>
                          </a:prstGeom>
                          <a:noFill/>
                          <a:ln>
                            <a:noFill/>
                          </a:ln>
                        </pic:spPr>
                      </pic:pic>
                    </a:graphicData>
                  </a:graphic>
                </wp:inline>
              </w:drawing>
            </w:r>
          </w:p>
        </w:tc>
      </w:tr>
      <w:tr w14:paraId="57121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000" w:type="pct"/>
            <w:gridSpan w:val="6"/>
            <w:vAlign w:val="center"/>
          </w:tcPr>
          <w:p w14:paraId="58EAFB4B">
            <w:pPr>
              <w:rPr>
                <w:rFonts w:hint="eastAsia" w:ascii="宋体" w:hAnsi="宋体" w:eastAsia="宋体" w:cs="宋体"/>
                <w:b/>
                <w:bCs/>
                <w:color w:val="000000"/>
                <w:kern w:val="0"/>
                <w:sz w:val="24"/>
                <w:lang w:bidi="ar"/>
              </w:rPr>
            </w:pPr>
            <w:r>
              <w:rPr>
                <w:rFonts w:hint="eastAsia" w:ascii="宋体" w:hAnsi="宋体" w:eastAsia="宋体" w:cs="宋体"/>
                <w:b/>
                <w:bCs/>
                <w:color w:val="000000"/>
                <w:kern w:val="0"/>
                <w:sz w:val="24"/>
                <w:lang w:bidi="ar"/>
              </w:rPr>
              <w:t>备注：</w:t>
            </w:r>
          </w:p>
          <w:p w14:paraId="2BCA2FBF">
            <w:pPr>
              <w:rPr>
                <w:rFonts w:hint="eastAsia" w:ascii="宋体" w:hAnsi="宋体" w:eastAsia="宋体" w:cs="宋体"/>
                <w:b/>
                <w:bCs/>
                <w:color w:val="000000"/>
                <w:kern w:val="0"/>
                <w:sz w:val="24"/>
                <w:lang w:bidi="ar"/>
              </w:rPr>
            </w:pPr>
            <w:r>
              <w:rPr>
                <w:rFonts w:hint="eastAsia" w:ascii="宋体" w:hAnsi="宋体" w:eastAsia="宋体" w:cs="宋体"/>
                <w:b/>
                <w:bCs/>
                <w:color w:val="000000"/>
                <w:kern w:val="0"/>
                <w:sz w:val="24"/>
                <w:lang w:bidi="ar"/>
              </w:rPr>
              <w:t>1、以上报价包含税金、运输、安装、人工等一切费用，报价一经确认不得更改。</w:t>
            </w:r>
            <w:r>
              <w:rPr>
                <w:rFonts w:hint="eastAsia" w:ascii="宋体" w:hAnsi="宋体" w:eastAsia="宋体" w:cs="宋体"/>
                <w:b/>
                <w:bCs/>
                <w:color w:val="FF0000"/>
                <w:kern w:val="0"/>
                <w:sz w:val="24"/>
                <w:lang w:bidi="ar"/>
              </w:rPr>
              <w:t>2、以上产品保修期3年。</w:t>
            </w:r>
          </w:p>
          <w:p w14:paraId="07BFE037">
            <w:pPr>
              <w:jc w:val="center"/>
              <w:rPr>
                <w:rFonts w:hint="eastAsia"/>
                <w:lang w:bidi="ar"/>
              </w:rPr>
            </w:pPr>
          </w:p>
          <w:p w14:paraId="29C044CC">
            <w:pPr>
              <w:jc w:val="center"/>
            </w:pPr>
            <w:r>
              <w:rPr>
                <w:rFonts w:hint="eastAsia" w:ascii="宋体" w:hAnsi="宋体" w:eastAsia="宋体" w:cs="宋体"/>
                <w:b/>
                <w:bCs/>
                <w:color w:val="000000"/>
                <w:kern w:val="0"/>
                <w:sz w:val="24"/>
                <w:lang w:bidi="ar"/>
              </w:rPr>
              <w:t>象牙白门板.抽屉面，白色柜体</w:t>
            </w:r>
          </w:p>
        </w:tc>
      </w:tr>
    </w:tbl>
    <w:p w14:paraId="45B6E3D4">
      <w:pPr>
        <w:widowControl/>
        <w:spacing w:before="75" w:after="75"/>
        <w:jc w:val="left"/>
        <w:rPr>
          <w:rFonts w:hint="eastAsia" w:ascii="仿宋" w:hAnsi="仿宋" w:eastAsia="仿宋" w:cs="Segoe UI"/>
          <w:b/>
          <w:bCs/>
          <w:kern w:val="0"/>
          <w:sz w:val="28"/>
          <w:szCs w:val="28"/>
        </w:rPr>
      </w:pPr>
      <w:r>
        <w:rPr>
          <w:rFonts w:hint="eastAsia" w:ascii="仿宋" w:hAnsi="仿宋" w:eastAsia="仿宋" w:cs="Segoe UI"/>
          <w:b/>
          <w:bCs/>
          <w:kern w:val="0"/>
          <w:sz w:val="28"/>
          <w:szCs w:val="28"/>
        </w:rPr>
        <w:t>备注：投标产品必须符合相关国家标准</w:t>
      </w:r>
    </w:p>
    <w:p w14:paraId="2E04B5E8">
      <w:pPr>
        <w:widowControl/>
        <w:spacing w:before="75" w:after="75"/>
        <w:jc w:val="left"/>
        <w:rPr>
          <w:rFonts w:hint="eastAsia" w:ascii="仿宋" w:hAnsi="仿宋" w:eastAsia="仿宋" w:cs="Segoe UI"/>
          <w:b/>
          <w:bCs/>
          <w:kern w:val="0"/>
          <w:sz w:val="28"/>
          <w:szCs w:val="28"/>
        </w:rPr>
      </w:pPr>
      <w:r>
        <w:rPr>
          <w:rFonts w:hint="eastAsia" w:ascii="仿宋" w:hAnsi="仿宋" w:eastAsia="仿宋" w:cs="Segoe UI"/>
          <w:b/>
          <w:bCs/>
          <w:kern w:val="0"/>
          <w:sz w:val="28"/>
          <w:szCs w:val="28"/>
        </w:rPr>
        <w:t>1.本次招标货物数量仅供参考，参加投标的供应商清单所提出的产品技术规格、数量、参数要求和服务要求等选择具有最佳性能及价格比的产品前来投标，以充分显示投标人的竞争实力。以上价格需包含运费、税金及完成本项目所需所有费用，</w:t>
      </w:r>
      <w:r>
        <w:rPr>
          <w:rFonts w:hint="eastAsia" w:ascii="仿宋" w:hAnsi="仿宋" w:eastAsia="仿宋" w:cs="Segoe UI"/>
          <w:b/>
          <w:bCs/>
          <w:color w:val="FF0000"/>
          <w:kern w:val="0"/>
          <w:sz w:val="28"/>
          <w:szCs w:val="28"/>
        </w:rPr>
        <w:t>清单报价实行总价包干</w:t>
      </w:r>
      <w:r>
        <w:rPr>
          <w:rFonts w:hint="eastAsia" w:ascii="仿宋" w:hAnsi="仿宋" w:eastAsia="仿宋" w:cs="Segoe UI"/>
          <w:b/>
          <w:bCs/>
          <w:kern w:val="0"/>
          <w:sz w:val="28"/>
          <w:szCs w:val="28"/>
        </w:rPr>
        <w:t>，投标人应充分考虑。</w:t>
      </w:r>
    </w:p>
    <w:p w14:paraId="37E3ABAF">
      <w:pPr>
        <w:rPr>
          <w:rFonts w:hint="eastAsia" w:ascii="仿宋" w:hAnsi="仿宋" w:eastAsia="仿宋" w:cs="Segoe UI"/>
          <w:b/>
          <w:bCs/>
          <w:kern w:val="0"/>
          <w:sz w:val="28"/>
          <w:szCs w:val="28"/>
          <w:highlight w:val="yellow"/>
        </w:rPr>
      </w:pPr>
      <w:r>
        <w:rPr>
          <w:rFonts w:hint="eastAsia" w:ascii="仿宋" w:hAnsi="仿宋" w:eastAsia="仿宋" w:cs="Segoe UI"/>
          <w:b/>
          <w:bCs/>
          <w:color w:val="FF0000"/>
          <w:kern w:val="0"/>
          <w:sz w:val="28"/>
          <w:szCs w:val="28"/>
          <w:highlight w:val="yellow"/>
        </w:rPr>
        <w:t>2.提供样品</w:t>
      </w:r>
      <w:r>
        <w:rPr>
          <w:rFonts w:hint="eastAsia" w:ascii="仿宋" w:hAnsi="仿宋" w:eastAsia="仿宋" w:cs="Segoe UI"/>
          <w:b/>
          <w:bCs/>
          <w:color w:val="FF0000"/>
          <w:kern w:val="0"/>
          <w:sz w:val="28"/>
          <w:szCs w:val="28"/>
          <w:highlight w:val="yellow"/>
          <w:lang w:eastAsia="zh-CN"/>
        </w:rPr>
        <w:t>：</w:t>
      </w:r>
      <w:r>
        <w:rPr>
          <w:rFonts w:hint="eastAsia" w:ascii="仿宋" w:hAnsi="仿宋" w:eastAsia="仿宋" w:cs="Segoe UI"/>
          <w:b/>
          <w:bCs/>
          <w:color w:val="FF0000"/>
          <w:kern w:val="0"/>
          <w:sz w:val="28"/>
          <w:szCs w:val="28"/>
          <w:highlight w:val="yellow"/>
        </w:rPr>
        <w:t>电解钢板</w:t>
      </w:r>
      <w:r>
        <w:rPr>
          <w:rFonts w:hint="eastAsia" w:ascii="仿宋" w:hAnsi="仿宋" w:eastAsia="仿宋" w:cs="Segoe UI"/>
          <w:b/>
          <w:bCs/>
          <w:color w:val="FF0000"/>
          <w:kern w:val="0"/>
          <w:sz w:val="28"/>
          <w:szCs w:val="28"/>
          <w:highlight w:val="yellow"/>
          <w:lang w:val="en-US" w:eastAsia="zh-CN"/>
        </w:rPr>
        <w:t>一块</w:t>
      </w:r>
      <w:r>
        <w:rPr>
          <w:rFonts w:hint="eastAsia" w:ascii="宋体" w:hAnsi="宋体" w:eastAsia="宋体" w:cs="Times New Roman"/>
          <w:b/>
          <w:bCs/>
          <w:color w:val="FF0000"/>
          <w:sz w:val="24"/>
          <w:highlight w:val="yellow"/>
          <w:lang w:val="en-US" w:eastAsia="zh-CN"/>
        </w:rPr>
        <w:t>（尺寸10cm*10cm或以上，颜色不限）</w:t>
      </w:r>
      <w:r>
        <w:rPr>
          <w:rFonts w:hint="eastAsia" w:ascii="仿宋" w:hAnsi="仿宋" w:eastAsia="仿宋" w:cs="Segoe UI"/>
          <w:b/>
          <w:bCs/>
          <w:color w:val="FF0000"/>
          <w:kern w:val="0"/>
          <w:sz w:val="28"/>
          <w:szCs w:val="28"/>
          <w:highlight w:val="yellow"/>
        </w:rPr>
        <w:t>。</w:t>
      </w:r>
    </w:p>
    <w:p w14:paraId="6634812B">
      <w:pPr>
        <w:rPr>
          <w:rFonts w:ascii="宋体" w:hAnsi="宋体" w:eastAsia="宋体" w:cs="宋体"/>
          <w:sz w:val="28"/>
          <w:szCs w:val="28"/>
        </w:rPr>
      </w:pPr>
      <w:r>
        <w:rPr>
          <w:rFonts w:hint="eastAsia" w:ascii="宋体" w:hAnsi="宋体" w:eastAsia="宋体" w:cs="宋体"/>
          <w:sz w:val="28"/>
          <w:szCs w:val="28"/>
        </w:rPr>
        <w:t>色卡：</w:t>
      </w:r>
      <w:r>
        <w:rPr>
          <w:rFonts w:ascii="宋体" w:hAnsi="宋体" w:eastAsia="宋体" w:cs="宋体"/>
          <w:sz w:val="28"/>
          <w:szCs w:val="28"/>
        </w:rPr>
        <w:drawing>
          <wp:inline distT="0" distB="0" distL="114300" distR="114300">
            <wp:extent cx="3114040" cy="2630170"/>
            <wp:effectExtent l="0" t="0" r="13335" b="5080"/>
            <wp:docPr id="6" name="图片 7" descr="E:\WeChat\WeChat Files\wxid_nnj0oe9rvnrs21\FileStorage\Temp\b6ab72bd55192354f60584fd2a714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E:\WeChat\WeChat Files\wxid_nnj0oe9rvnrs21\FileStorage\Temp\b6ab72bd55192354f60584fd2a714d0.jpg"/>
                    <pic:cNvPicPr>
                      <a:picLocks noChangeAspect="1"/>
                    </pic:cNvPicPr>
                  </pic:nvPicPr>
                  <pic:blipFill>
                    <a:blip r:embed="rId9"/>
                    <a:stretch>
                      <a:fillRect/>
                    </a:stretch>
                  </pic:blipFill>
                  <pic:spPr>
                    <a:xfrm>
                      <a:off x="0" y="0"/>
                      <a:ext cx="3114040" cy="2630170"/>
                    </a:xfrm>
                    <a:prstGeom prst="rect">
                      <a:avLst/>
                    </a:prstGeom>
                    <a:noFill/>
                    <a:ln>
                      <a:noFill/>
                    </a:ln>
                  </pic:spPr>
                </pic:pic>
              </a:graphicData>
            </a:graphic>
          </wp:inline>
        </w:drawing>
      </w:r>
      <w:bookmarkStart w:id="0" w:name="_GoBack"/>
      <w:bookmarkEnd w:id="0"/>
    </w:p>
    <w:p w14:paraId="4FB9535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900CC7"/>
    <w:multiLevelType w:val="singleLevel"/>
    <w:tmpl w:val="48900CC7"/>
    <w:lvl w:ilvl="0" w:tentative="0">
      <w:start w:val="1"/>
      <w:numFmt w:val="decimal"/>
      <w:suff w:val="nothing"/>
      <w:lvlText w:val="%1、"/>
      <w:lvlJc w:val="left"/>
    </w:lvl>
  </w:abstractNum>
  <w:abstractNum w:abstractNumId="1">
    <w:nsid w:val="56A7C9F1"/>
    <w:multiLevelType w:val="singleLevel"/>
    <w:tmpl w:val="56A7C9F1"/>
    <w:lvl w:ilvl="0" w:tentative="0">
      <w:start w:val="1"/>
      <w:numFmt w:val="decimal"/>
      <w:suff w:val="nothing"/>
      <w:lvlText w:val="%1、"/>
      <w:lvlJc w:val="left"/>
    </w:lvl>
  </w:abstractNum>
  <w:abstractNum w:abstractNumId="2">
    <w:nsid w:val="618161C5"/>
    <w:multiLevelType w:val="singleLevel"/>
    <w:tmpl w:val="618161C5"/>
    <w:lvl w:ilvl="0" w:tentative="0">
      <w:start w:val="2"/>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9954DA"/>
    <w:rsid w:val="269954DA"/>
    <w:rsid w:val="5C6264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 w:type="paragraph" w:styleId="3">
    <w:name w:val="Title"/>
    <w:basedOn w:val="1"/>
    <w:next w:val="1"/>
    <w:qFormat/>
    <w:uiPriority w:val="0"/>
    <w:pPr>
      <w:spacing w:before="240" w:beforeLines="0" w:after="60" w:afterLines="0"/>
      <w:jc w:val="center"/>
      <w:outlineLvl w:val="0"/>
    </w:pPr>
    <w:rPr>
      <w:rFonts w:ascii="Cambria" w:hAnsi="Cambria"/>
      <w:b/>
      <w:bCs/>
      <w:sz w:val="32"/>
      <w:szCs w:val="32"/>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930</Words>
  <Characters>1071</Characters>
  <Lines>0</Lines>
  <Paragraphs>0</Paragraphs>
  <TotalTime>0</TotalTime>
  <ScaleCrop>false</ScaleCrop>
  <LinksUpToDate>false</LinksUpToDate>
  <CharactersWithSpaces>1096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2025-01-17T08:12:00Z</dcterms:created>
  <dc:creator>高杨</dc:creator>
  <cp:lastModifiedBy>高杨</cp:lastModifiedBy>
  <dcterms:modified xsi:type="dcterms:W3CDTF">2025-01-17T08:42:17Z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45C456FF118F4F6DA88F2682E1A68290_11</vt:lpwstr>
  </property>
  <property fmtid="{D5CDD505-2E9C-101B-9397-08002B2CF9AE}" pid="4" name="KSOTemplateDocerSaveRecord">
    <vt:lpwstr>eyJoZGlkIjoiMjU5NzRhZDBkZDkwNDZlZDExYzFkOTc4ZWIwMjc2MDAiLCJ1c2VySWQiOiI0OTQ3NTI0ODcifQ==</vt:lpwstr>
  </property>
</Properties>
</file>