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4E3BD">
      <w:pPr>
        <w:pStyle w:val="3"/>
        <w:bidi w:val="0"/>
        <w:jc w:val="center"/>
        <w:rPr>
          <w:rFonts w:hint="eastAsia"/>
          <w:b/>
          <w:bCs/>
          <w:szCs w:val="30"/>
          <w:lang w:val="en-US" w:eastAsia="zh-CN"/>
        </w:rPr>
      </w:pPr>
      <w:bookmarkStart w:id="0" w:name="_Toc13245"/>
      <w:bookmarkStart w:id="1" w:name="_Toc31506"/>
      <w:bookmarkStart w:id="2" w:name="_Toc21458"/>
      <w:r>
        <w:rPr>
          <w:rFonts w:hint="eastAsia"/>
          <w:sz w:val="30"/>
          <w:szCs w:val="30"/>
          <w:lang w:eastAsia="zh-CN"/>
        </w:rPr>
        <w:t>（</w:t>
      </w:r>
      <w:r>
        <w:rPr>
          <w:rFonts w:hint="eastAsia"/>
          <w:sz w:val="30"/>
          <w:szCs w:val="30"/>
          <w:lang w:val="en-US" w:eastAsia="zh-CN"/>
        </w:rPr>
        <w:t>一</w:t>
      </w:r>
      <w:r>
        <w:rPr>
          <w:rFonts w:hint="eastAsia"/>
          <w:sz w:val="30"/>
          <w:szCs w:val="30"/>
          <w:lang w:eastAsia="zh-CN"/>
        </w:rPr>
        <w:t>）</w:t>
      </w:r>
      <w:r>
        <w:rPr>
          <w:rFonts w:hint="eastAsia"/>
          <w:sz w:val="30"/>
          <w:szCs w:val="30"/>
          <w:lang w:val="en-US" w:eastAsia="zh-CN"/>
        </w:rPr>
        <w:t>采购内容</w:t>
      </w:r>
      <w:bookmarkEnd w:id="0"/>
      <w:bookmarkEnd w:id="1"/>
      <w:bookmarkEnd w:id="2"/>
    </w:p>
    <w:tbl>
      <w:tblPr>
        <w:tblStyle w:val="8"/>
        <w:tblW w:w="8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206"/>
        <w:gridCol w:w="6814"/>
      </w:tblGrid>
      <w:tr w14:paraId="77B9A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68FE106C">
            <w:pPr>
              <w:rPr>
                <w:rFonts w:hint="eastAsia" w:ascii="宋体" w:hAnsi="宋体" w:eastAsia="宋体" w:cs="宋体"/>
                <w:sz w:val="24"/>
                <w:szCs w:val="24"/>
              </w:rPr>
            </w:pPr>
            <w:r>
              <w:rPr>
                <w:rFonts w:hint="eastAsia" w:ascii="宋体" w:hAnsi="宋体" w:eastAsia="宋体" w:cs="宋体"/>
                <w:sz w:val="24"/>
                <w:szCs w:val="24"/>
              </w:rPr>
              <w:t>序号</w:t>
            </w:r>
          </w:p>
        </w:tc>
        <w:tc>
          <w:tcPr>
            <w:tcW w:w="1206" w:type="dxa"/>
            <w:noWrap w:val="0"/>
            <w:vAlign w:val="top"/>
          </w:tcPr>
          <w:p w14:paraId="33AA25F5">
            <w:pPr>
              <w:rPr>
                <w:rFonts w:hint="eastAsia" w:ascii="宋体" w:hAnsi="宋体" w:eastAsia="宋体" w:cs="宋体"/>
                <w:sz w:val="24"/>
                <w:szCs w:val="24"/>
              </w:rPr>
            </w:pPr>
            <w:r>
              <w:rPr>
                <w:rFonts w:hint="eastAsia" w:ascii="宋体" w:hAnsi="宋体" w:eastAsia="宋体" w:cs="宋体"/>
                <w:bCs/>
                <w:sz w:val="24"/>
                <w:szCs w:val="24"/>
              </w:rPr>
              <w:t>子项</w:t>
            </w:r>
          </w:p>
        </w:tc>
        <w:tc>
          <w:tcPr>
            <w:tcW w:w="6814" w:type="dxa"/>
            <w:noWrap w:val="0"/>
            <w:vAlign w:val="top"/>
          </w:tcPr>
          <w:p w14:paraId="23F2005F">
            <w:pPr>
              <w:rPr>
                <w:rFonts w:hint="eastAsia" w:ascii="宋体" w:hAnsi="宋体" w:eastAsia="宋体" w:cs="宋体"/>
                <w:sz w:val="24"/>
                <w:szCs w:val="24"/>
              </w:rPr>
            </w:pPr>
            <w:r>
              <w:rPr>
                <w:rFonts w:hint="eastAsia" w:ascii="宋体" w:hAnsi="宋体" w:eastAsia="宋体" w:cs="宋体"/>
                <w:bCs/>
                <w:sz w:val="24"/>
                <w:szCs w:val="24"/>
              </w:rPr>
              <w:t>详细要求</w:t>
            </w:r>
          </w:p>
        </w:tc>
      </w:tr>
      <w:tr w14:paraId="1DC9A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1" w:type="dxa"/>
            <w:gridSpan w:val="3"/>
            <w:noWrap w:val="0"/>
            <w:vAlign w:val="top"/>
          </w:tcPr>
          <w:p w14:paraId="24A77CB5">
            <w:pPr>
              <w:rPr>
                <w:rFonts w:hint="eastAsia" w:ascii="宋体" w:hAnsi="宋体" w:eastAsia="宋体" w:cs="宋体"/>
                <w:sz w:val="24"/>
                <w:szCs w:val="24"/>
              </w:rPr>
            </w:pPr>
            <w:r>
              <w:rPr>
                <w:rFonts w:hint="eastAsia" w:ascii="宋体" w:hAnsi="宋体" w:eastAsia="宋体" w:cs="宋体"/>
                <w:b/>
                <w:sz w:val="24"/>
                <w:szCs w:val="24"/>
              </w:rPr>
              <w:t>药学监护1套</w:t>
            </w:r>
          </w:p>
        </w:tc>
      </w:tr>
      <w:tr w14:paraId="79A06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center"/>
          </w:tcPr>
          <w:p w14:paraId="19371018">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206" w:type="dxa"/>
            <w:noWrap w:val="0"/>
            <w:vAlign w:val="center"/>
          </w:tcPr>
          <w:p w14:paraId="1A4D9D9D">
            <w:pPr>
              <w:spacing w:line="240" w:lineRule="auto"/>
              <w:jc w:val="left"/>
              <w:rPr>
                <w:rFonts w:hint="eastAsia" w:ascii="宋体" w:hAnsi="宋体" w:eastAsia="宋体" w:cs="宋体"/>
                <w:sz w:val="24"/>
                <w:szCs w:val="24"/>
              </w:rPr>
            </w:pPr>
            <w:r>
              <w:rPr>
                <w:rFonts w:hint="eastAsia" w:ascii="宋体" w:hAnsi="宋体" w:eastAsia="宋体" w:cs="宋体"/>
                <w:sz w:val="24"/>
                <w:szCs w:val="24"/>
              </w:rPr>
              <w:t>患者档案</w:t>
            </w:r>
          </w:p>
        </w:tc>
        <w:tc>
          <w:tcPr>
            <w:tcW w:w="6814" w:type="dxa"/>
            <w:noWrap w:val="0"/>
            <w:vAlign w:val="top"/>
          </w:tcPr>
          <w:p w14:paraId="20864F54">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能提供患者个人档案，方便药师查看患者历次就诊记录、药学服务记录。</w:t>
            </w:r>
          </w:p>
          <w:p w14:paraId="425AD5CD">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患者档案包括个人信息、过敏史、药品不良反应史、基因检测、既往手术史、既往病史、诊疗记录等，药师可编辑。</w:t>
            </w:r>
          </w:p>
        </w:tc>
      </w:tr>
      <w:tr w14:paraId="1D85F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center"/>
          </w:tcPr>
          <w:p w14:paraId="1FC14910">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206" w:type="dxa"/>
            <w:noWrap w:val="0"/>
            <w:vAlign w:val="center"/>
          </w:tcPr>
          <w:p w14:paraId="624D666B">
            <w:pPr>
              <w:spacing w:line="240" w:lineRule="auto"/>
              <w:rPr>
                <w:rFonts w:hint="eastAsia" w:ascii="宋体" w:hAnsi="宋体" w:eastAsia="宋体" w:cs="宋体"/>
                <w:bCs/>
                <w:sz w:val="24"/>
                <w:szCs w:val="24"/>
              </w:rPr>
            </w:pPr>
            <w:r>
              <w:rPr>
                <w:rFonts w:hint="eastAsia" w:ascii="宋体" w:hAnsi="宋体" w:eastAsia="宋体" w:cs="宋体"/>
                <w:bCs/>
                <w:sz w:val="24"/>
                <w:szCs w:val="24"/>
              </w:rPr>
              <w:t>监护范围</w:t>
            </w:r>
          </w:p>
        </w:tc>
        <w:tc>
          <w:tcPr>
            <w:tcW w:w="6814" w:type="dxa"/>
            <w:noWrap w:val="0"/>
            <w:vAlign w:val="top"/>
          </w:tcPr>
          <w:p w14:paraId="40FA6987">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能按科室、病区、医疗组、主管医生设置监护范围，应能实现对监护范围内患者当日新开医嘱进行批量审查，方便药师开展监护工作。</w:t>
            </w:r>
          </w:p>
        </w:tc>
      </w:tr>
      <w:tr w14:paraId="0FAF6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center"/>
          </w:tcPr>
          <w:p w14:paraId="39305E96">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206" w:type="dxa"/>
            <w:noWrap w:val="0"/>
            <w:vAlign w:val="center"/>
          </w:tcPr>
          <w:p w14:paraId="1F5F255D">
            <w:pPr>
              <w:spacing w:line="240" w:lineRule="auto"/>
              <w:rPr>
                <w:rFonts w:hint="eastAsia" w:ascii="宋体" w:hAnsi="宋体" w:eastAsia="宋体" w:cs="宋体"/>
                <w:sz w:val="24"/>
                <w:szCs w:val="24"/>
              </w:rPr>
            </w:pPr>
            <w:r>
              <w:rPr>
                <w:rFonts w:hint="eastAsia" w:ascii="宋体" w:hAnsi="宋体" w:eastAsia="宋体" w:cs="宋体"/>
                <w:bCs/>
                <w:sz w:val="24"/>
                <w:szCs w:val="24"/>
              </w:rPr>
              <w:t>监护评级</w:t>
            </w:r>
          </w:p>
        </w:tc>
        <w:tc>
          <w:tcPr>
            <w:tcW w:w="6814" w:type="dxa"/>
            <w:noWrap w:val="0"/>
            <w:vAlign w:val="top"/>
          </w:tcPr>
          <w:p w14:paraId="5FEBA5D5">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具备监护评级机制，可根据异常检验结果、异常生命体征、重点关注药品、用药品种数、是否存在特殊治疗将患者自动划分为一级、二级、三级药学监护，并根据监护级别推荐监护频率，药师可进行人工确认。</w:t>
            </w:r>
          </w:p>
        </w:tc>
      </w:tr>
      <w:tr w14:paraId="33D17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center"/>
          </w:tcPr>
          <w:p w14:paraId="51E93665">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206" w:type="dxa"/>
            <w:noWrap w:val="0"/>
            <w:vAlign w:val="center"/>
          </w:tcPr>
          <w:p w14:paraId="2B7C8936">
            <w:pPr>
              <w:spacing w:line="240" w:lineRule="auto"/>
              <w:rPr>
                <w:rFonts w:hint="eastAsia" w:ascii="宋体" w:hAnsi="宋体" w:eastAsia="宋体" w:cs="宋体"/>
                <w:sz w:val="24"/>
                <w:szCs w:val="24"/>
              </w:rPr>
            </w:pPr>
            <w:r>
              <w:rPr>
                <w:rFonts w:hint="eastAsia" w:ascii="宋体" w:hAnsi="宋体" w:eastAsia="宋体" w:cs="宋体"/>
                <w:bCs/>
                <w:sz w:val="24"/>
                <w:szCs w:val="24"/>
              </w:rPr>
              <w:t>重点关注病例</w:t>
            </w:r>
          </w:p>
        </w:tc>
        <w:tc>
          <w:tcPr>
            <w:tcW w:w="6814" w:type="dxa"/>
            <w:noWrap w:val="0"/>
            <w:vAlign w:val="top"/>
          </w:tcPr>
          <w:p w14:paraId="27FB400A">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自动筛选出需要重点监护的患者，包括新入院、待出院、一级/二级监护、未完成监护计划、肝肾损害、过敏、手术、医药公式与评估量表结果、执行中重点关注药品、执行中不合理医嘱、异常检验、异常体征和自定义患者。</w:t>
            </w:r>
          </w:p>
          <w:p w14:paraId="1CFCD112">
            <w:pPr>
              <w:pStyle w:val="5"/>
              <w:numPr>
                <w:ilvl w:val="1"/>
                <w:numId w:val="0"/>
              </w:numPr>
              <w:spacing w:line="240" w:lineRule="auto"/>
              <w:ind w:left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能根据药品、疾病特点自定义患者，自定义要素包括但不限于药品、检查项目、检验结果、基因检测、出血风险、VTE风险、手术、切口类型、诊断和联合用药、用药天数、体重、年龄、住院天数。</w:t>
            </w:r>
          </w:p>
          <w:p w14:paraId="126539A7">
            <w:pPr>
              <w:pStyle w:val="5"/>
              <w:numPr>
                <w:ilvl w:val="1"/>
                <w:numId w:val="0"/>
              </w:numPr>
              <w:spacing w:line="240" w:lineRule="auto"/>
              <w:ind w:left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自定义联合用药患者应提供同天使用、同点有交叉、同点有交叉或前后相差小于24小时的联用方式。</w:t>
            </w:r>
          </w:p>
        </w:tc>
      </w:tr>
      <w:tr w14:paraId="207C9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41" w:type="dxa"/>
            <w:noWrap w:val="0"/>
            <w:vAlign w:val="center"/>
          </w:tcPr>
          <w:p w14:paraId="2C57830D">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206" w:type="dxa"/>
            <w:noWrap w:val="0"/>
            <w:vAlign w:val="center"/>
          </w:tcPr>
          <w:p w14:paraId="6A5B3D2D">
            <w:pPr>
              <w:spacing w:line="240" w:lineRule="auto"/>
              <w:rPr>
                <w:rFonts w:hint="eastAsia" w:ascii="宋体" w:hAnsi="宋体" w:eastAsia="宋体" w:cs="宋体"/>
                <w:sz w:val="24"/>
                <w:szCs w:val="24"/>
              </w:rPr>
            </w:pPr>
            <w:r>
              <w:rPr>
                <w:rFonts w:hint="eastAsia" w:ascii="宋体" w:hAnsi="宋体" w:eastAsia="宋体" w:cs="宋体"/>
                <w:bCs/>
                <w:sz w:val="24"/>
                <w:szCs w:val="24"/>
              </w:rPr>
              <w:t>患者360视图</w:t>
            </w:r>
          </w:p>
        </w:tc>
        <w:tc>
          <w:tcPr>
            <w:tcW w:w="6814" w:type="dxa"/>
            <w:noWrap w:val="0"/>
            <w:vAlign w:val="top"/>
          </w:tcPr>
          <w:p w14:paraId="02593783">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能整合患者数据方便药师查看，包括患者基本信息、医嘱、检验、检查、手术、会诊、病程、历史诊疗、健康摘要、用药时序图、药品联用图、风险提示。</w:t>
            </w:r>
          </w:p>
          <w:p w14:paraId="12835B28">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基本信息应包括但不限于患者姓名、年龄、标记、体表面积、体重指数、入院诊断、肌酐清除率、过敏史、基因检测结果、医药公式与评估量表及结果。</w:t>
            </w:r>
          </w:p>
          <w:p w14:paraId="1B49A05C">
            <w:pPr>
              <w:pStyle w:val="5"/>
              <w:numPr>
                <w:ilvl w:val="1"/>
                <w:numId w:val="0"/>
              </w:numPr>
              <w:spacing w:line="240" w:lineRule="auto"/>
              <w:ind w:left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可以高亮显示患者在用医嘱，并提供药疗/非药疗、长期/临时、三日内新开医嘱、出院带药、特殊标记医嘱、特殊药品属性供药师筛选。</w:t>
            </w:r>
          </w:p>
          <w:p w14:paraId="5F830D2C">
            <w:pPr>
              <w:pStyle w:val="5"/>
              <w:numPr>
                <w:ilvl w:val="1"/>
                <w:numId w:val="0"/>
              </w:numPr>
              <w:spacing w:line="240" w:lineRule="auto"/>
              <w:ind w:left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提供用药时序图自定义功能，药师可根据科室、疾病特点设置显示项目，包括呼吸、脉搏、体温、疼痛评分、血糖、内科/外科VTE风险、内科/外科出血风险、出/入量、血压、体重、身高、手术、病原学送检、内生肌酐清除率、肾小球滤过率、医药公式与评估量表、药品、检验。</w:t>
            </w:r>
          </w:p>
          <w:p w14:paraId="0393C92D">
            <w:p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能提供数据录入功能，方便药师手动补录患者检验检查和诊断等数据。</w:t>
            </w:r>
          </w:p>
          <w:p w14:paraId="24D57318">
            <w:p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能提供自定义事项提醒，药师可根据患者监护需要设置提醒内容及时间，方便药师及时处理。</w:t>
            </w:r>
          </w:p>
        </w:tc>
      </w:tr>
      <w:tr w14:paraId="236E0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566C4414">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206" w:type="dxa"/>
            <w:noWrap w:val="0"/>
            <w:vAlign w:val="center"/>
          </w:tcPr>
          <w:p w14:paraId="1B8C2B76">
            <w:pPr>
              <w:spacing w:line="240" w:lineRule="auto"/>
              <w:rPr>
                <w:rFonts w:hint="eastAsia" w:ascii="宋体" w:hAnsi="宋体" w:eastAsia="宋体" w:cs="宋体"/>
                <w:sz w:val="24"/>
                <w:szCs w:val="24"/>
              </w:rPr>
            </w:pPr>
            <w:r>
              <w:rPr>
                <w:rFonts w:hint="eastAsia" w:ascii="宋体" w:hAnsi="宋体" w:eastAsia="宋体" w:cs="宋体"/>
                <w:bCs/>
                <w:sz w:val="24"/>
                <w:szCs w:val="24"/>
              </w:rPr>
              <w:t>监护全过程</w:t>
            </w:r>
          </w:p>
        </w:tc>
        <w:tc>
          <w:tcPr>
            <w:tcW w:w="6814" w:type="dxa"/>
            <w:noWrap w:val="0"/>
            <w:vAlign w:val="top"/>
          </w:tcPr>
          <w:p w14:paraId="49F2FC12">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可以提供入院评估表，内容包括患者一般资料、入院状况、既往用药了解程序、主要实验室检查结果、风险评估、依从性评估、疾病认识。应可导入既往入院评估。</w:t>
            </w:r>
          </w:p>
          <w:p w14:paraId="709A7864">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可以提供程序审查结果、药品说明书、注意事项辅助药师进行合理用药审查，应支持药师将不合理医嘱一键生成用药建议，反馈给临床医生并记录医生采纳情况。</w:t>
            </w:r>
          </w:p>
          <w:p w14:paraId="2C3ED8CC">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可以自动导入患者在用医嘱，快速生成药物重整计划，应支持药师将重整计划反馈给临床医生并记录医生采纳情况。应可导入既往重整计划。</w:t>
            </w:r>
          </w:p>
          <w:p w14:paraId="5BCEDCAB">
            <w:pPr>
              <w:pStyle w:val="5"/>
              <w:numPr>
                <w:ilvl w:val="1"/>
                <w:numId w:val="0"/>
              </w:numPr>
              <w:spacing w:line="240" w:lineRule="auto"/>
              <w:ind w:left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可以提供导入历史监护计划、监护计划模板快捷输入、医嘱/检验/检查自动导入功能、医嘱/检验值模糊查找功能，帮助药师快速生成监护计划。</w:t>
            </w:r>
          </w:p>
          <w:p w14:paraId="0D643D3D">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能够提供监护日志模板，内容包括监护日期、病情变化、修正诊断、药学问诊、问题及患者反馈、治疗方案、新开药品、停嘱药品、实验室检查结果更新、药学分析与建议，药师应可根据需要自定义填写内容。</w:t>
            </w:r>
          </w:p>
          <w:p w14:paraId="1D54A9A1">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可以根据患者已有基因检测结果、血药浓度结果提醒药师制定个体化用药方案。应提供单室模型静脉注射药动学公式协助药师调整用量。</w:t>
            </w:r>
          </w:p>
          <w:p w14:paraId="5C499387">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支持药师将用药建议一键生成监护计划，提高药师填写效率。系统应能支持药师将用药建议发送给临床医生并记录医生对于该用药建议的采纳情况，发送方式应为医生工作站消息提示。系统应支持用药建议智能分析功能，应能自动读取并分析医生行为，智能判断医生是否采纳建议。药师可在程序评估结果的基础上人工确认。</w:t>
            </w:r>
          </w:p>
          <w:p w14:paraId="358A9081">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能自动生成患者全程化药学监护记录，并根据监护记录内容生成“新入院患者药学监护记录表”、“在院患者药学监护记录表”。</w:t>
            </w:r>
          </w:p>
          <w:p w14:paraId="1051FF72">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可以支持医生在工作站、电子病历等系统中自主查看监护评级、监护计划、监护日志、用药建议、药物重整计划、个体化用药方案、风险评估。</w:t>
            </w:r>
          </w:p>
        </w:tc>
      </w:tr>
      <w:tr w14:paraId="642C4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4B0D57F7">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1206" w:type="dxa"/>
            <w:noWrap w:val="0"/>
            <w:vAlign w:val="top"/>
          </w:tcPr>
          <w:p w14:paraId="7C6CC56C">
            <w:pPr>
              <w:spacing w:line="240" w:lineRule="auto"/>
              <w:rPr>
                <w:rFonts w:hint="eastAsia" w:ascii="宋体" w:hAnsi="宋体" w:eastAsia="宋体" w:cs="宋体"/>
                <w:bCs/>
                <w:sz w:val="24"/>
                <w:szCs w:val="24"/>
              </w:rPr>
            </w:pPr>
            <w:r>
              <w:rPr>
                <w:rFonts w:hint="eastAsia" w:ascii="宋体" w:hAnsi="宋体" w:eastAsia="宋体" w:cs="宋体"/>
                <w:sz w:val="24"/>
                <w:szCs w:val="24"/>
              </w:rPr>
              <w:t>专项监护</w:t>
            </w:r>
          </w:p>
        </w:tc>
        <w:tc>
          <w:tcPr>
            <w:tcW w:w="6814" w:type="dxa"/>
            <w:noWrap w:val="0"/>
            <w:vAlign w:val="top"/>
          </w:tcPr>
          <w:p w14:paraId="459E95EC">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系统应能实现批量医嘱审核功能，快速发现不合理医嘱，提高药师医嘱审核效率。系统应能提供药学会诊、血药浓度/基因检测个体化治疗方案随访管理功能，并记录医生对个体化治疗方案的采纳情况。</w:t>
            </w:r>
          </w:p>
        </w:tc>
      </w:tr>
      <w:tr w14:paraId="428AD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7F47F633">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1206" w:type="dxa"/>
            <w:noWrap w:val="0"/>
            <w:vAlign w:val="top"/>
          </w:tcPr>
          <w:p w14:paraId="33A3D2B8">
            <w:pPr>
              <w:spacing w:line="240" w:lineRule="auto"/>
              <w:rPr>
                <w:rFonts w:hint="eastAsia" w:ascii="宋体" w:hAnsi="宋体" w:eastAsia="宋体" w:cs="宋体"/>
                <w:bCs/>
                <w:sz w:val="24"/>
                <w:szCs w:val="24"/>
              </w:rPr>
            </w:pPr>
            <w:r>
              <w:rPr>
                <w:rFonts w:hint="eastAsia" w:ascii="宋体" w:hAnsi="宋体" w:eastAsia="宋体" w:cs="宋体"/>
                <w:bCs/>
                <w:sz w:val="24"/>
                <w:szCs w:val="24"/>
              </w:rPr>
              <w:t>带教学习</w:t>
            </w:r>
          </w:p>
        </w:tc>
        <w:tc>
          <w:tcPr>
            <w:tcW w:w="6814" w:type="dxa"/>
            <w:noWrap w:val="0"/>
            <w:vAlign w:val="top"/>
          </w:tcPr>
          <w:p w14:paraId="35A3D4D8">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系统应提供带教模块，学生填写的药学记录需提交老师审核。</w:t>
            </w:r>
          </w:p>
        </w:tc>
      </w:tr>
      <w:tr w14:paraId="4671F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541D3FBE">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1206" w:type="dxa"/>
            <w:noWrap w:val="0"/>
            <w:vAlign w:val="center"/>
          </w:tcPr>
          <w:p w14:paraId="2998F43C">
            <w:pPr>
              <w:spacing w:line="240" w:lineRule="auto"/>
              <w:rPr>
                <w:rFonts w:hint="eastAsia" w:ascii="宋体" w:hAnsi="宋体" w:eastAsia="宋体" w:cs="宋体"/>
                <w:bCs/>
                <w:sz w:val="24"/>
                <w:szCs w:val="24"/>
              </w:rPr>
            </w:pPr>
            <w:r>
              <w:rPr>
                <w:rFonts w:hint="eastAsia" w:ascii="宋体" w:hAnsi="宋体" w:eastAsia="宋体" w:cs="宋体"/>
                <w:bCs/>
                <w:sz w:val="24"/>
                <w:szCs w:val="24"/>
              </w:rPr>
              <w:t>药学记录</w:t>
            </w:r>
          </w:p>
        </w:tc>
        <w:tc>
          <w:tcPr>
            <w:tcW w:w="6814" w:type="dxa"/>
            <w:noWrap w:val="0"/>
            <w:vAlign w:val="top"/>
          </w:tcPr>
          <w:p w14:paraId="502F885B">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系统应能自动生成我的监护病例/查房备注/带教学习、全院监护记录/发送记录/带教学习、用药建议采纳情况等药学记录供药师查询、处理。系统应支持批量生成查房备注，减少药师填写工作量。</w:t>
            </w:r>
          </w:p>
        </w:tc>
      </w:tr>
      <w:tr w14:paraId="28A0A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3938CEAD">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206" w:type="dxa"/>
            <w:noWrap w:val="0"/>
            <w:vAlign w:val="top"/>
          </w:tcPr>
          <w:p w14:paraId="5DD68E63">
            <w:pPr>
              <w:spacing w:line="240" w:lineRule="auto"/>
              <w:rPr>
                <w:rFonts w:hint="eastAsia" w:ascii="宋体" w:hAnsi="宋体" w:eastAsia="宋体" w:cs="宋体"/>
                <w:bCs/>
                <w:sz w:val="24"/>
                <w:szCs w:val="24"/>
              </w:rPr>
            </w:pPr>
            <w:r>
              <w:rPr>
                <w:rFonts w:hint="eastAsia" w:ascii="宋体" w:hAnsi="宋体" w:eastAsia="宋体" w:cs="宋体"/>
                <w:bCs/>
                <w:sz w:val="24"/>
                <w:szCs w:val="24"/>
              </w:rPr>
              <w:t>药学查房</w:t>
            </w:r>
          </w:p>
        </w:tc>
        <w:tc>
          <w:tcPr>
            <w:tcW w:w="6814" w:type="dxa"/>
            <w:noWrap w:val="0"/>
            <w:vAlign w:val="top"/>
          </w:tcPr>
          <w:p w14:paraId="6D32A74D">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系统应提供移动端程序协助药师完成药学查房，移动端应支持查看患者360视图并简单备注查房前准备和查房时情况。应提供查房备注模板，方便药师快速填写。</w:t>
            </w:r>
          </w:p>
        </w:tc>
      </w:tr>
      <w:tr w14:paraId="3DC85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3A4F1C24">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206" w:type="dxa"/>
            <w:noWrap w:val="0"/>
            <w:vAlign w:val="top"/>
          </w:tcPr>
          <w:p w14:paraId="386125DE">
            <w:pPr>
              <w:spacing w:line="240" w:lineRule="auto"/>
              <w:rPr>
                <w:rFonts w:hint="eastAsia" w:ascii="宋体" w:hAnsi="宋体" w:eastAsia="宋体" w:cs="宋体"/>
                <w:bCs/>
                <w:sz w:val="24"/>
                <w:szCs w:val="24"/>
              </w:rPr>
            </w:pPr>
            <w:r>
              <w:rPr>
                <w:rFonts w:hint="eastAsia" w:ascii="宋体" w:hAnsi="宋体" w:eastAsia="宋体" w:cs="宋体"/>
                <w:bCs/>
                <w:sz w:val="24"/>
                <w:szCs w:val="24"/>
              </w:rPr>
              <w:t>用药咨询</w:t>
            </w:r>
          </w:p>
        </w:tc>
        <w:tc>
          <w:tcPr>
            <w:tcW w:w="6814" w:type="dxa"/>
            <w:noWrap w:val="0"/>
            <w:vAlign w:val="top"/>
          </w:tcPr>
          <w:p w14:paraId="37179861">
            <w:pPr>
              <w:pStyle w:val="5"/>
              <w:numPr>
                <w:ilvl w:val="1"/>
                <w:numId w:val="0"/>
              </w:numPr>
              <w:spacing w:line="240" w:lineRule="auto"/>
              <w:ind w:left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线下咨询</w:t>
            </w:r>
          </w:p>
          <w:p w14:paraId="15CBFD31">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系统支持药师记录门诊患者、住院患者、患者亲友、医生、护士发起的线下用药咨询及药师解答，应支持延答复操作，方便药师查找暂未答复的问题。</w:t>
            </w:r>
          </w:p>
          <w:p w14:paraId="7F3F01C6">
            <w:pPr>
              <w:pStyle w:val="5"/>
              <w:numPr>
                <w:ilvl w:val="1"/>
                <w:numId w:val="0"/>
              </w:numPr>
              <w:spacing w:line="240" w:lineRule="auto"/>
              <w:ind w:left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医生咨询</w:t>
            </w:r>
          </w:p>
          <w:p w14:paraId="279507A6">
            <w:p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系统支持医生在工作站向药师发起用药咨询。</w:t>
            </w:r>
          </w:p>
        </w:tc>
      </w:tr>
      <w:tr w14:paraId="794C7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76016523">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1206" w:type="dxa"/>
            <w:noWrap w:val="0"/>
            <w:vAlign w:val="top"/>
          </w:tcPr>
          <w:p w14:paraId="4ABA2C98">
            <w:pPr>
              <w:spacing w:line="240" w:lineRule="auto"/>
              <w:rPr>
                <w:rFonts w:hint="eastAsia" w:ascii="宋体" w:hAnsi="宋体" w:eastAsia="宋体" w:cs="宋体"/>
                <w:bCs/>
                <w:sz w:val="24"/>
                <w:szCs w:val="24"/>
              </w:rPr>
            </w:pPr>
            <w:r>
              <w:rPr>
                <w:rFonts w:hint="eastAsia" w:ascii="宋体" w:hAnsi="宋体" w:eastAsia="宋体" w:cs="宋体"/>
                <w:bCs/>
                <w:sz w:val="24"/>
                <w:szCs w:val="24"/>
              </w:rPr>
              <w:t>用药指导</w:t>
            </w:r>
          </w:p>
        </w:tc>
        <w:tc>
          <w:tcPr>
            <w:tcW w:w="6814" w:type="dxa"/>
            <w:noWrap w:val="0"/>
            <w:vAlign w:val="top"/>
          </w:tcPr>
          <w:p w14:paraId="49C4C2B5">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支持自动生成用药指导单，包括用药清单（药品名称/规格/厂家/发药数量/用法用量/等）、药品注意事项、服药时间表、错时给药、食物宜忌事项、其他注意事项。应支持药师设置特殊周剂量、月剂量给药方案。</w:t>
            </w:r>
          </w:p>
          <w:p w14:paraId="389CE63F">
            <w:pPr>
              <w:numPr>
                <w:ilvl w:val="0"/>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系统支持将用药指导单打印给患者。</w:t>
            </w:r>
          </w:p>
        </w:tc>
      </w:tr>
      <w:tr w14:paraId="06E73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top"/>
          </w:tcPr>
          <w:p w14:paraId="78C22180">
            <w:pPr>
              <w:pStyle w:val="4"/>
              <w:spacing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1206" w:type="dxa"/>
            <w:noWrap w:val="0"/>
            <w:vAlign w:val="top"/>
          </w:tcPr>
          <w:p w14:paraId="680AD253">
            <w:pPr>
              <w:spacing w:line="240" w:lineRule="auto"/>
              <w:rPr>
                <w:rFonts w:hint="eastAsia" w:ascii="宋体" w:hAnsi="宋体" w:eastAsia="宋体" w:cs="宋体"/>
                <w:bCs/>
                <w:sz w:val="24"/>
                <w:szCs w:val="24"/>
              </w:rPr>
            </w:pPr>
            <w:r>
              <w:rPr>
                <w:rFonts w:hint="eastAsia" w:ascii="宋体" w:hAnsi="宋体" w:eastAsia="宋体" w:cs="宋体"/>
                <w:bCs/>
                <w:sz w:val="24"/>
                <w:szCs w:val="24"/>
              </w:rPr>
              <w:t>统计分析</w:t>
            </w:r>
          </w:p>
        </w:tc>
        <w:tc>
          <w:tcPr>
            <w:tcW w:w="6814" w:type="dxa"/>
            <w:noWrap w:val="0"/>
            <w:vAlign w:val="top"/>
          </w:tcPr>
          <w:p w14:paraId="7513EF22">
            <w:pPr>
              <w:pStyle w:val="5"/>
              <w:numPr>
                <w:ilvl w:val="1"/>
                <w:numId w:val="0"/>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系统应能根据药师工作内容生成以下报表：</w:t>
            </w:r>
          </w:p>
          <w:p w14:paraId="1976D2E5">
            <w:pPr>
              <w:pStyle w:val="5"/>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住院监护</w:t>
            </w:r>
          </w:p>
          <w:p w14:paraId="5082D2E2">
            <w:pPr>
              <w:pStyle w:val="5"/>
              <w:numPr>
                <w:ilvl w:val="0"/>
                <w:numId w:val="1"/>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医嘱审核汇总</w:t>
            </w:r>
          </w:p>
          <w:p w14:paraId="3ADA95F0">
            <w:pPr>
              <w:spacing w:line="240" w:lineRule="auto"/>
              <w:ind w:firstLine="240" w:firstLineChars="10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应能按药师、科室、主管医生维度统计医嘱审核情况，如审核数、医嘱审核占比、不合理医嘱数等</w:t>
            </w:r>
          </w:p>
          <w:p w14:paraId="00EBC113">
            <w:pPr>
              <w:pStyle w:val="5"/>
              <w:numPr>
                <w:ilvl w:val="0"/>
                <w:numId w:val="1"/>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药学监护记录汇总</w:t>
            </w:r>
          </w:p>
          <w:p w14:paraId="64667CC3">
            <w:pPr>
              <w:spacing w:line="240" w:lineRule="auto"/>
              <w:ind w:firstLine="240" w:firstLineChars="10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应能按药师、科室、全院维度统计药学监护各项记录数及全院趋势分析，包括但不限于监护计划/日志数、用药建议、药物重整数等。</w:t>
            </w:r>
          </w:p>
          <w:p w14:paraId="0EC6EFB1">
            <w:pPr>
              <w:pStyle w:val="5"/>
              <w:numPr>
                <w:ilvl w:val="0"/>
                <w:numId w:val="1"/>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出院病人药学监护统计</w:t>
            </w:r>
          </w:p>
          <w:p w14:paraId="2837DBA9">
            <w:pPr>
              <w:pStyle w:val="10"/>
              <w:numPr>
                <w:ilvl w:val="0"/>
                <w:numId w:val="2"/>
              </w:numPr>
              <w:spacing w:line="240" w:lineRule="auto"/>
              <w:ind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药学监护病人清单表</w:t>
            </w:r>
          </w:p>
          <w:p w14:paraId="157568AD">
            <w:pPr>
              <w:pStyle w:val="10"/>
              <w:numPr>
                <w:ilvl w:val="0"/>
                <w:numId w:val="2"/>
              </w:numPr>
              <w:spacing w:line="240" w:lineRule="auto"/>
              <w:ind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科室药学监护病人数统计</w:t>
            </w:r>
          </w:p>
          <w:p w14:paraId="7E62C9C5">
            <w:pPr>
              <w:pStyle w:val="10"/>
              <w:numPr>
                <w:ilvl w:val="0"/>
                <w:numId w:val="2"/>
              </w:numPr>
              <w:spacing w:line="240" w:lineRule="auto"/>
              <w:ind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全院药学监护病人数统计</w:t>
            </w:r>
          </w:p>
          <w:p w14:paraId="68DBBB14">
            <w:pPr>
              <w:pStyle w:val="5"/>
              <w:numPr>
                <w:ilvl w:val="0"/>
                <w:numId w:val="1"/>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用药建议原因分析</w:t>
            </w:r>
          </w:p>
          <w:p w14:paraId="0CF8A4F7">
            <w:pPr>
              <w:pStyle w:val="5"/>
              <w:numPr>
                <w:ilvl w:val="0"/>
                <w:numId w:val="1"/>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用药建议发送分析</w:t>
            </w:r>
          </w:p>
          <w:p w14:paraId="2CC98ED1">
            <w:pPr>
              <w:pStyle w:val="5"/>
              <w:numPr>
                <w:ilvl w:val="0"/>
                <w:numId w:val="1"/>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药物重整发送分析</w:t>
            </w:r>
          </w:p>
          <w:p w14:paraId="52DC1AA6">
            <w:pPr>
              <w:pStyle w:val="5"/>
              <w:numPr>
                <w:ilvl w:val="0"/>
                <w:numId w:val="1"/>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查房打卡汇总统计</w:t>
            </w:r>
          </w:p>
          <w:p w14:paraId="65C54A57">
            <w:pPr>
              <w:pStyle w:val="5"/>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用药咨询</w:t>
            </w:r>
          </w:p>
          <w:p w14:paraId="6037DDAB">
            <w:pPr>
              <w:pStyle w:val="5"/>
              <w:numPr>
                <w:ilvl w:val="0"/>
                <w:numId w:val="3"/>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个人工作量统计</w:t>
            </w:r>
          </w:p>
          <w:p w14:paraId="0E4AC28B">
            <w:pPr>
              <w:pStyle w:val="5"/>
              <w:numPr>
                <w:ilvl w:val="0"/>
                <w:numId w:val="3"/>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问题类型统计</w:t>
            </w:r>
          </w:p>
          <w:p w14:paraId="57160A41">
            <w:pPr>
              <w:pStyle w:val="5"/>
              <w:numPr>
                <w:ilvl w:val="0"/>
                <w:numId w:val="3"/>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药理类别统计</w:t>
            </w:r>
          </w:p>
          <w:p w14:paraId="7A267ADF">
            <w:pPr>
              <w:pStyle w:val="5"/>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用药指导</w:t>
            </w:r>
          </w:p>
          <w:p w14:paraId="665059A1">
            <w:pPr>
              <w:pStyle w:val="5"/>
              <w:numPr>
                <w:ilvl w:val="0"/>
                <w:numId w:val="4"/>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指导原因统计</w:t>
            </w:r>
          </w:p>
          <w:p w14:paraId="73326C10">
            <w:pPr>
              <w:pStyle w:val="5"/>
              <w:numPr>
                <w:ilvl w:val="0"/>
                <w:numId w:val="4"/>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药品统计</w:t>
            </w:r>
          </w:p>
          <w:p w14:paraId="7F85A9C6">
            <w:pPr>
              <w:pStyle w:val="5"/>
              <w:numPr>
                <w:ilvl w:val="0"/>
                <w:numId w:val="4"/>
              </w:numPr>
              <w:spacing w:line="240" w:lineRule="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药理类别统计</w:t>
            </w:r>
          </w:p>
        </w:tc>
      </w:tr>
      <w:tr w14:paraId="4A6F7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noWrap w:val="0"/>
            <w:vAlign w:val="center"/>
          </w:tcPr>
          <w:p w14:paraId="6C4AF62A">
            <w:pPr>
              <w:pStyle w:val="6"/>
              <w:ind w:left="0" w:leftChars="0" w:firstLine="0" w:firstLineChars="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14</w:t>
            </w:r>
          </w:p>
        </w:tc>
        <w:tc>
          <w:tcPr>
            <w:tcW w:w="1206" w:type="dxa"/>
            <w:noWrap w:val="0"/>
            <w:vAlign w:val="center"/>
          </w:tcPr>
          <w:p w14:paraId="5F69BE75">
            <w:pPr>
              <w:spacing w:line="24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系统集成与调试</w:t>
            </w:r>
          </w:p>
        </w:tc>
        <w:tc>
          <w:tcPr>
            <w:tcW w:w="6814" w:type="dxa"/>
            <w:noWrap w:val="0"/>
            <w:vAlign w:val="top"/>
          </w:tcPr>
          <w:p w14:paraId="7C2BED9F">
            <w:pPr>
              <w:spacing w:line="240" w:lineRule="auto"/>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1.系统需与HIS系统系统做好对接，供应商报价须包含相关接口对接费用；</w:t>
            </w:r>
          </w:p>
          <w:p w14:paraId="25DE5BDF">
            <w:pPr>
              <w:spacing w:line="24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2.供应商需做好基础数据互联互通，供应商负责承担相关厂商协调义务及可能涉及的一切对接费用，并在项目实施前通过但不限于定制开发或其他可落地执行的技术手段来实现；</w:t>
            </w:r>
          </w:p>
          <w:p w14:paraId="477E7FD5">
            <w:pPr>
              <w:spacing w:line="24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3.在安装实施完成并正式交付医院使用之前，负责培训医院相关的操作使用人员，保证使用效果；</w:t>
            </w:r>
            <w:bookmarkStart w:id="3" w:name="_GoBack"/>
            <w:bookmarkEnd w:id="3"/>
          </w:p>
          <w:p w14:paraId="2752B53B">
            <w:pPr>
              <w:spacing w:line="24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4.实施完成后，可提供详细的产品说明、操作规程、维护方法等相关技术资料。</w:t>
            </w:r>
          </w:p>
          <w:p w14:paraId="0DC2CF42">
            <w:pPr>
              <w:pStyle w:val="2"/>
              <w:rPr>
                <w:rFonts w:hint="default"/>
                <w:lang w:val="en-US" w:eastAsia="zh-CN"/>
              </w:rPr>
            </w:pPr>
            <w:r>
              <w:rPr>
                <w:rFonts w:hint="eastAsia" w:ascii="宋体" w:hAnsi="宋体" w:eastAsia="宋体" w:cs="宋体"/>
                <w:bCs/>
                <w:sz w:val="24"/>
                <w:szCs w:val="24"/>
                <w:highlight w:val="yellow"/>
                <w:lang w:val="en-US" w:eastAsia="zh-CN"/>
              </w:rPr>
              <w:t>注：药学监护按照工作量接口费约3万。</w:t>
            </w:r>
          </w:p>
        </w:tc>
      </w:tr>
    </w:tbl>
    <w:p w14:paraId="0139B03F">
      <w:pPr>
        <w:pStyle w:val="6"/>
        <w:numPr>
          <w:ilvl w:val="0"/>
          <w:numId w:val="0"/>
        </w:numPr>
        <w:ind w:leftChars="0"/>
        <w:rPr>
          <w:rFonts w:hint="eastAsia" w:ascii="宋体" w:hAnsi="宋体" w:eastAsia="宋体" w:cs="宋体"/>
          <w:b/>
          <w:bCs w:val="0"/>
          <w:sz w:val="24"/>
          <w:szCs w:val="24"/>
          <w:lang w:val="en-US" w:eastAsia="zh-CN"/>
        </w:rPr>
      </w:pPr>
    </w:p>
    <w:p w14:paraId="649B5A5C">
      <w:pPr>
        <w:pStyle w:val="6"/>
        <w:numPr>
          <w:ilvl w:val="0"/>
          <w:numId w:val="0"/>
        </w:numPr>
        <w:ind w:leftChars="0"/>
        <w:jc w:val="center"/>
        <w:rPr>
          <w:rFonts w:hint="eastAsia" w:ascii="宋体" w:hAnsi="宋体" w:eastAsia="宋体" w:cs="宋体"/>
          <w:b/>
          <w:bCs w:val="0"/>
          <w:sz w:val="30"/>
          <w:szCs w:val="30"/>
          <w:lang w:val="en-US" w:eastAsia="zh-CN"/>
        </w:rPr>
      </w:pPr>
      <w:r>
        <w:rPr>
          <w:rFonts w:hint="eastAsia" w:ascii="宋体" w:hAnsi="宋体" w:eastAsia="宋体" w:cs="宋体"/>
          <w:b/>
          <w:bCs w:val="0"/>
          <w:sz w:val="30"/>
          <w:szCs w:val="30"/>
          <w:lang w:val="en-US" w:eastAsia="zh-CN"/>
        </w:rPr>
        <w:t>二、商务要求</w:t>
      </w:r>
    </w:p>
    <w:p w14:paraId="6980FD6A">
      <w:pPr>
        <w:spacing w:line="480" w:lineRule="auto"/>
        <w:rPr>
          <w:rFonts w:hint="eastAsia" w:ascii="宋体" w:hAnsi="宋体" w:eastAsia="宋体" w:cs="宋体"/>
          <w:sz w:val="30"/>
          <w:szCs w:val="30"/>
          <w:lang w:val="en-US" w:eastAsia="zh-CN"/>
        </w:rPr>
      </w:pPr>
      <w:r>
        <w:rPr>
          <w:rFonts w:hint="eastAsia" w:ascii="宋体" w:hAnsi="宋体" w:eastAsia="宋体" w:cs="宋体"/>
          <w:sz w:val="30"/>
          <w:szCs w:val="30"/>
        </w:rPr>
        <w:t>（一）</w:t>
      </w:r>
      <w:r>
        <w:rPr>
          <w:rFonts w:hint="eastAsia" w:ascii="宋体" w:hAnsi="宋体" w:eastAsia="宋体" w:cs="宋体"/>
          <w:sz w:val="30"/>
          <w:szCs w:val="30"/>
          <w:lang w:val="en-US" w:eastAsia="zh-CN"/>
        </w:rPr>
        <w:t>交货日期：</w:t>
      </w:r>
      <w:r>
        <w:rPr>
          <w:rFonts w:hint="eastAsia"/>
          <w:b/>
          <w:bCs/>
          <w:sz w:val="30"/>
          <w:szCs w:val="30"/>
          <w:highlight w:val="yellow"/>
        </w:rPr>
        <w:t>合同签订后60个日历日内完成交货及安装调试</w:t>
      </w:r>
      <w:r>
        <w:rPr>
          <w:rFonts w:hint="eastAsia"/>
          <w:b/>
          <w:bCs/>
          <w:sz w:val="30"/>
          <w:szCs w:val="30"/>
          <w:highlight w:val="yellow"/>
          <w:lang w:eastAsia="zh-CN"/>
        </w:rPr>
        <w:t>。</w:t>
      </w:r>
    </w:p>
    <w:p w14:paraId="70BA4FA3">
      <w:pPr>
        <w:pStyle w:val="7"/>
        <w:rPr>
          <w:rFonts w:hint="eastAsia" w:ascii="宋体" w:hAnsi="宋体" w:eastAsia="宋体" w:cs="宋体"/>
          <w:sz w:val="30"/>
          <w:szCs w:val="30"/>
        </w:rPr>
      </w:pPr>
      <w:r>
        <w:rPr>
          <w:rFonts w:hint="eastAsia" w:ascii="宋体" w:hAnsi="宋体" w:eastAsia="宋体" w:cs="宋体"/>
          <w:sz w:val="30"/>
          <w:szCs w:val="30"/>
        </w:rPr>
        <w:t>（二）付款方式：合同签订之日起1个月内支付合同总价的40%，项目验收合格</w:t>
      </w:r>
      <w:r>
        <w:rPr>
          <w:rFonts w:hint="eastAsia" w:ascii="宋体" w:hAnsi="宋体" w:eastAsia="宋体" w:cs="宋体"/>
          <w:sz w:val="30"/>
          <w:szCs w:val="30"/>
          <w:lang w:val="en-US" w:eastAsia="zh-CN"/>
        </w:rPr>
        <w:t>后</w:t>
      </w:r>
      <w:r>
        <w:rPr>
          <w:rFonts w:hint="eastAsia" w:ascii="宋体" w:hAnsi="宋体" w:eastAsia="宋体" w:cs="宋体"/>
          <w:sz w:val="30"/>
          <w:szCs w:val="30"/>
        </w:rPr>
        <w:t>，支付合同总价的</w:t>
      </w:r>
      <w:r>
        <w:rPr>
          <w:rFonts w:hint="eastAsia" w:ascii="宋体" w:hAnsi="宋体" w:eastAsia="宋体" w:cs="宋体"/>
          <w:sz w:val="30"/>
          <w:szCs w:val="30"/>
          <w:lang w:val="en-US" w:eastAsia="zh-CN"/>
        </w:rPr>
        <w:t>50</w:t>
      </w:r>
      <w:r>
        <w:rPr>
          <w:rFonts w:hint="eastAsia" w:ascii="宋体" w:hAnsi="宋体" w:eastAsia="宋体" w:cs="宋体"/>
          <w:sz w:val="30"/>
          <w:szCs w:val="30"/>
        </w:rPr>
        <w:t>%，余款质保期满之后1个月内付清。</w:t>
      </w:r>
      <w:r>
        <w:rPr>
          <w:rFonts w:hint="eastAsia" w:ascii="宋体" w:hAnsi="宋体" w:eastAsia="宋体" w:cs="宋体"/>
          <w:sz w:val="30"/>
          <w:szCs w:val="30"/>
        </w:rPr>
        <w:br w:type="textWrapping"/>
      </w:r>
      <w:r>
        <w:rPr>
          <w:rFonts w:hint="eastAsia" w:ascii="宋体" w:hAnsi="宋体" w:eastAsia="宋体" w:cs="宋体"/>
          <w:sz w:val="30"/>
          <w:szCs w:val="30"/>
        </w:rPr>
        <w:t>（</w:t>
      </w:r>
      <w:r>
        <w:rPr>
          <w:rFonts w:hint="eastAsia" w:ascii="宋体" w:hAnsi="宋体" w:eastAsia="宋体" w:cs="宋体"/>
          <w:sz w:val="30"/>
          <w:szCs w:val="30"/>
          <w:lang w:val="en-US" w:eastAsia="zh-CN"/>
        </w:rPr>
        <w:t>三）</w:t>
      </w:r>
      <w:r>
        <w:rPr>
          <w:rFonts w:hint="eastAsia" w:ascii="宋体" w:hAnsi="宋体" w:eastAsia="宋体" w:cs="宋体"/>
          <w:sz w:val="30"/>
          <w:szCs w:val="30"/>
        </w:rPr>
        <w:t>服务期：</w:t>
      </w:r>
      <w:r>
        <w:rPr>
          <w:rFonts w:hint="eastAsia" w:ascii="宋体" w:hAnsi="宋体" w:eastAsia="宋体" w:cs="宋体"/>
          <w:b/>
          <w:bCs/>
          <w:sz w:val="30"/>
          <w:szCs w:val="30"/>
        </w:rPr>
        <w:t>项目验收合格之日起设备及软件提供三年维保</w:t>
      </w:r>
      <w:r>
        <w:rPr>
          <w:rFonts w:hint="eastAsia" w:ascii="宋体" w:hAnsi="宋体" w:eastAsia="宋体" w:cs="宋体"/>
          <w:b/>
          <w:bCs/>
          <w:sz w:val="30"/>
          <w:szCs w:val="30"/>
          <w:lang w:val="en-US" w:eastAsia="zh-CN"/>
        </w:rPr>
        <w:t>,</w:t>
      </w:r>
      <w:r>
        <w:rPr>
          <w:rFonts w:hint="eastAsia" w:ascii="Times New Roman" w:hAnsi="Times New Roman" w:eastAsia="宋体" w:cs="Times New Roman"/>
          <w:b/>
          <w:bCs/>
          <w:sz w:val="30"/>
          <w:szCs w:val="30"/>
        </w:rPr>
        <w:t>所有</w:t>
      </w:r>
      <w:r>
        <w:rPr>
          <w:rFonts w:hint="eastAsia" w:ascii="Times New Roman" w:hAnsi="Times New Roman" w:eastAsia="宋体" w:cs="Times New Roman"/>
          <w:b/>
          <w:bCs/>
          <w:sz w:val="30"/>
          <w:szCs w:val="30"/>
          <w:lang w:val="en-US" w:eastAsia="zh-CN"/>
        </w:rPr>
        <w:t>维保</w:t>
      </w:r>
      <w:r>
        <w:rPr>
          <w:rFonts w:hint="eastAsia" w:ascii="Times New Roman" w:hAnsi="Times New Roman" w:eastAsia="宋体" w:cs="Times New Roman"/>
          <w:b/>
          <w:bCs/>
          <w:sz w:val="30"/>
          <w:szCs w:val="30"/>
        </w:rPr>
        <w:t>费用均已包含在总报价中。</w:t>
      </w:r>
      <w:r>
        <w:rPr>
          <w:rFonts w:hint="eastAsia" w:ascii="宋体" w:hAnsi="宋体" w:eastAsia="宋体" w:cs="宋体"/>
          <w:sz w:val="30"/>
          <w:szCs w:val="30"/>
        </w:rPr>
        <w:t>系统发生故障时厂商应当日安排工程师进行故障排查和维护，确保系统正常使用。如遇重大紧急故障，厂商工程师无法远程维护和排除故障导致系统无法正常运行，应在三个日期日内免费安排工程师到现场进行技术服务。</w:t>
      </w:r>
    </w:p>
    <w:p w14:paraId="06F60616">
      <w:pPr>
        <w:keepNext w:val="0"/>
        <w:keepLines w:val="0"/>
        <w:widowControl/>
        <w:suppressLineNumbers w:val="0"/>
        <w:jc w:val="left"/>
        <w:rPr>
          <w:rFonts w:hint="eastAsia" w:ascii="宋体" w:hAnsi="宋体" w:eastAsia="宋体" w:cs="宋体"/>
          <w:color w:val="000000"/>
          <w:sz w:val="28"/>
          <w:szCs w:val="28"/>
        </w:rPr>
      </w:pPr>
    </w:p>
    <w:p w14:paraId="26A0171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DF6553"/>
    <w:multiLevelType w:val="multilevel"/>
    <w:tmpl w:val="01DF6553"/>
    <w:lvl w:ilvl="0" w:tentative="0">
      <w:start w:val="1"/>
      <w:numFmt w:val="decimal"/>
      <w:lvlText w:val="%1）"/>
      <w:lvlJc w:val="left"/>
      <w:pPr>
        <w:ind w:left="780" w:hanging="360"/>
      </w:pPr>
      <w:rPr>
        <w:rFonts w:hint="default"/>
        <w:sz w:val="21"/>
        <w:szCs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2BE119CB"/>
    <w:multiLevelType w:val="multilevel"/>
    <w:tmpl w:val="2BE119CB"/>
    <w:lvl w:ilvl="0" w:tentative="0">
      <w:start w:val="1"/>
      <w:numFmt w:val="decimal"/>
      <w:lvlText w:val="（%1）"/>
      <w:lvlJc w:val="left"/>
      <w:pPr>
        <w:ind w:left="720" w:hanging="720"/>
      </w:pPr>
      <w:rPr>
        <w:rFonts w:hint="default"/>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D581246"/>
    <w:multiLevelType w:val="multilevel"/>
    <w:tmpl w:val="3D581246"/>
    <w:lvl w:ilvl="0" w:tentative="0">
      <w:start w:val="1"/>
      <w:numFmt w:val="decimal"/>
      <w:lvlText w:val="（%1）"/>
      <w:lvlJc w:val="left"/>
      <w:pPr>
        <w:ind w:left="720" w:hanging="720"/>
      </w:pPr>
      <w:rPr>
        <w:rFonts w:hint="default"/>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6FC54D5"/>
    <w:multiLevelType w:val="multilevel"/>
    <w:tmpl w:val="56FC54D5"/>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836D8"/>
    <w:rsid w:val="6DB83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4">
    <w:name w:val="heading 3"/>
    <w:basedOn w:val="1"/>
    <w:next w:val="1"/>
    <w:unhideWhenUsed/>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 w:type="paragraph" w:styleId="6">
    <w:name w:val="Normal Indent"/>
    <w:basedOn w:val="1"/>
    <w:qFormat/>
    <w:uiPriority w:val="0"/>
    <w:pPr>
      <w:ind w:firstLine="420"/>
    </w:pPr>
    <w:rPr>
      <w:szCs w:val="20"/>
    </w:rPr>
  </w:style>
  <w:style w:type="paragraph" w:styleId="7">
    <w:name w:val="annotation text"/>
    <w:basedOn w:val="1"/>
    <w:qFormat/>
    <w:uiPriority w:val="0"/>
    <w:pPr>
      <w:jc w:val="left"/>
    </w:p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2024-12-11T06:51:00Z</dcterms:created>
  <dc:creator>高杨</dc:creator>
  <cp:lastModifiedBy>高杨</cp:lastModifiedBy>
  <dcterms:modified xsi:type="dcterms:W3CDTF">2024-12-11T06:52:24Z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02283DBBFB7E4E6DAC713DF56F1A9D20_11</vt:lpwstr>
  </property>
</Properties>
</file>