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75C887">
      <w:pPr>
        <w:jc w:val="center"/>
        <w:rPr>
          <w:rFonts w:hint="eastAsia"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技术参数</w:t>
      </w:r>
    </w:p>
    <w:tbl>
      <w:tblPr>
        <w:tblStyle w:val="4"/>
        <w:tblW w:w="8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1788"/>
        <w:gridCol w:w="2755"/>
        <w:gridCol w:w="876"/>
        <w:gridCol w:w="2267"/>
      </w:tblGrid>
      <w:tr w14:paraId="3A1F8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8E152">
            <w:pPr>
              <w:autoSpaceDE w:val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29C7AE">
            <w:pPr>
              <w:autoSpaceDE w:val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货物名称</w:t>
            </w:r>
          </w:p>
        </w:tc>
        <w:tc>
          <w:tcPr>
            <w:tcW w:w="2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36F5BA">
            <w:pPr>
              <w:autoSpaceDE w:val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9548A4">
            <w:pPr>
              <w:autoSpaceDE w:val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4BA90C">
            <w:pPr>
              <w:autoSpaceDE w:val="0"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  <w:t>不低于以下品牌及型号</w:t>
            </w:r>
          </w:p>
        </w:tc>
      </w:tr>
      <w:tr w14:paraId="1680D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5C9A8">
            <w:pPr>
              <w:autoSpaceDE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C81485">
            <w:pPr>
              <w:autoSpaceDE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热敏纸</w:t>
            </w:r>
          </w:p>
          <w:p w14:paraId="2E00BABF">
            <w:pPr>
              <w:autoSpaceDE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（不干胶条码纸、防油污，防摩擦，防高温）</w:t>
            </w:r>
          </w:p>
        </w:tc>
        <w:tc>
          <w:tcPr>
            <w:tcW w:w="2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FB300A">
            <w:pPr>
              <w:autoSpaceDE w:val="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80mm*50mm--960张/卷</w:t>
            </w:r>
          </w:p>
          <w:p w14:paraId="24A7BFF3">
            <w:pPr>
              <w:autoSpaceDE w:val="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打印版型：横版；</w:t>
            </w:r>
          </w:p>
          <w:p w14:paraId="7488B162">
            <w:pPr>
              <w:autoSpaceDE w:val="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粘性好、显字清晰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C31473">
            <w:pPr>
              <w:autoSpaceDE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卷</w:t>
            </w: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A197C">
            <w:pPr>
              <w:autoSpaceDE w:val="0"/>
              <w:jc w:val="left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  <w:t>得力12307</w:t>
            </w:r>
          </w:p>
          <w:p w14:paraId="61D393C7">
            <w:pPr>
              <w:autoSpaceDE w:val="0"/>
              <w:jc w:val="left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  <w:t>晨光</w:t>
            </w:r>
          </w:p>
          <w:p w14:paraId="59A1D10A">
            <w:pPr>
              <w:autoSpaceDE w:val="0"/>
              <w:jc w:val="left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  <w:t>天章</w:t>
            </w:r>
          </w:p>
        </w:tc>
      </w:tr>
      <w:tr w14:paraId="260EF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  <w:jc w:val="center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EA405">
            <w:pPr>
              <w:autoSpaceDE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D83A70">
            <w:pPr>
              <w:autoSpaceDE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擦手纸</w:t>
            </w:r>
          </w:p>
          <w:p w14:paraId="47526FC7">
            <w:pPr>
              <w:autoSpaceDE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（三折纸）</w:t>
            </w:r>
          </w:p>
        </w:tc>
        <w:tc>
          <w:tcPr>
            <w:tcW w:w="2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0C83C5">
            <w:pPr>
              <w:autoSpaceDE w:val="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225mm*215mm/张（单层）</w:t>
            </w:r>
          </w:p>
          <w:p w14:paraId="076CFD26">
            <w:pPr>
              <w:autoSpaceDE w:val="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包装规格：200张/包</w:t>
            </w:r>
          </w:p>
          <w:p w14:paraId="12C2F7C4">
            <w:pPr>
              <w:autoSpaceDE w:val="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压花香型：压花无香型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B20E90">
            <w:pPr>
              <w:autoSpaceDE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包</w:t>
            </w: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03B8BC">
            <w:pPr>
              <w:autoSpaceDE w:val="0"/>
              <w:jc w:val="left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  <w:t>心相印CS001</w:t>
            </w:r>
          </w:p>
          <w:p w14:paraId="4C0F0874">
            <w:pPr>
              <w:autoSpaceDE w:val="0"/>
              <w:jc w:val="left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  <w:t>清风</w:t>
            </w:r>
          </w:p>
          <w:p w14:paraId="2F38F9B7">
            <w:pPr>
              <w:autoSpaceDE w:val="0"/>
              <w:jc w:val="left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  <w:t>维达、洁柔</w:t>
            </w:r>
          </w:p>
        </w:tc>
      </w:tr>
      <w:tr w14:paraId="6906A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  <w:jc w:val="center"/>
        </w:trPr>
        <w:tc>
          <w:tcPr>
            <w:tcW w:w="82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46C53">
            <w:pPr>
              <w:autoSpaceDE w:val="0"/>
              <w:jc w:val="left"/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产品要求：热敏纸满足国标：GB/T 28210-2011，擦手纸符合GB/T24455—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2022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标准。热敏纸和擦手纸使用100%原生木浆。标准如有更新，以新标准为准。</w:t>
            </w:r>
          </w:p>
          <w:p w14:paraId="626B5A8E">
            <w:pPr>
              <w:autoSpaceDE w:val="0"/>
              <w:jc w:val="left"/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备注：热敏纸和擦手纸需带样品，以便我院医护人员试用。</w:t>
            </w:r>
          </w:p>
        </w:tc>
      </w:tr>
    </w:tbl>
    <w:p w14:paraId="7117CE98">
      <w:pPr>
        <w:rPr>
          <w:rFonts w:hint="eastAsia" w:ascii="仿宋" w:hAnsi="仿宋" w:eastAsia="仿宋"/>
          <w:sz w:val="32"/>
        </w:rPr>
      </w:pPr>
      <w:r>
        <w:rPr>
          <w:rFonts w:hint="eastAsia" w:ascii="Times New Roman" w:hAnsi="Times New Roman" w:eastAsia="仿宋" w:cs="Times New Roman"/>
          <w:b/>
          <w:bCs/>
          <w:color w:val="FF0000"/>
          <w:sz w:val="32"/>
          <w:highlight w:val="yellow"/>
          <w:lang w:val="en-US" w:eastAsia="zh-CN"/>
        </w:rPr>
        <w:t>注：本项目供应商须提供样品：热敏纸1卷和擦手纸1包。</w:t>
      </w:r>
    </w:p>
    <w:p w14:paraId="13D44531"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热敏纸估量：4000卷</w:t>
      </w:r>
    </w:p>
    <w:p w14:paraId="7A6FA68F"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擦手纸估量：33500包</w:t>
      </w:r>
    </w:p>
    <w:p w14:paraId="5031C449">
      <w:pPr>
        <w:pStyle w:val="2"/>
        <w:rPr>
          <w:rFonts w:hint="eastAsia" w:ascii="仿宋" w:hAnsi="仿宋" w:eastAsia="仿宋" w:cs="Times New Roman"/>
          <w:b/>
          <w:bCs/>
          <w:color w:val="FF0000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Times New Roman"/>
          <w:b/>
          <w:bCs/>
          <w:color w:val="FF0000"/>
          <w:kern w:val="2"/>
          <w:sz w:val="32"/>
          <w:szCs w:val="22"/>
          <w:lang w:val="en-US" w:eastAsia="zh-CN" w:bidi="ar-SA"/>
        </w:rPr>
        <w:t>注：以上数量为预估量，最终的采购数量以医院实际使用量为准。</w:t>
      </w:r>
    </w:p>
    <w:p w14:paraId="678AC9D0">
      <w:pPr>
        <w:numPr>
          <w:ilvl w:val="0"/>
          <w:numId w:val="1"/>
        </w:num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b/>
          <w:bCs/>
          <w:sz w:val="32"/>
        </w:rPr>
        <w:t>供货期：按照医院实际需求量分批次供货，分批结算，</w:t>
      </w:r>
      <w:r>
        <w:rPr>
          <w:rFonts w:hint="eastAsia" w:ascii="仿宋" w:hAnsi="仿宋" w:eastAsia="仿宋"/>
          <w:sz w:val="32"/>
        </w:rPr>
        <w:t>按照成交单价乘以配送数量进行结算；结算总额达到合同总价，供货期满合同终止。</w:t>
      </w:r>
    </w:p>
    <w:p w14:paraId="3607F893">
      <w:pPr>
        <w:numPr>
          <w:ilvl w:val="0"/>
          <w:numId w:val="1"/>
        </w:numPr>
        <w:rPr>
          <w:rFonts w:hint="eastAsia" w:ascii="仿宋" w:hAnsi="仿宋" w:eastAsia="仿宋"/>
          <w:b/>
          <w:bCs/>
          <w:sz w:val="32"/>
          <w:highlight w:val="yellow"/>
        </w:rPr>
      </w:pPr>
      <w:r>
        <w:rPr>
          <w:rFonts w:hint="eastAsia" w:ascii="仿宋" w:hAnsi="仿宋" w:eastAsia="仿宋"/>
          <w:b/>
          <w:bCs/>
          <w:sz w:val="32"/>
          <w:highlight w:val="yellow"/>
          <w:lang w:val="en-US" w:eastAsia="zh-CN"/>
        </w:rPr>
        <w:t>付款方式：分批次支付。根据</w:t>
      </w:r>
      <w:r>
        <w:rPr>
          <w:rFonts w:hint="eastAsia" w:ascii="仿宋" w:hAnsi="仿宋" w:eastAsia="仿宋"/>
          <w:b/>
          <w:bCs/>
          <w:sz w:val="32"/>
          <w:highlight w:val="yellow"/>
        </w:rPr>
        <w:t>医院</w:t>
      </w:r>
      <w:r>
        <w:rPr>
          <w:rFonts w:hint="default" w:ascii="仿宋" w:hAnsi="仿宋" w:eastAsia="仿宋" w:cs="Times New Roman"/>
          <w:b/>
          <w:bCs/>
          <w:sz w:val="32"/>
          <w:highlight w:val="yellow"/>
          <w:lang w:val="en-US" w:eastAsia="zh-CN"/>
        </w:rPr>
        <w:t>实际</w:t>
      </w:r>
      <w:r>
        <w:rPr>
          <w:rFonts w:hint="eastAsia" w:ascii="仿宋" w:hAnsi="仿宋" w:eastAsia="仿宋" w:cs="Times New Roman"/>
          <w:b/>
          <w:bCs/>
          <w:sz w:val="32"/>
          <w:highlight w:val="yellow"/>
          <w:lang w:val="en-US" w:eastAsia="zh-CN"/>
        </w:rPr>
        <w:t>需求</w:t>
      </w:r>
      <w:r>
        <w:rPr>
          <w:rFonts w:hint="default" w:ascii="仿宋" w:hAnsi="仿宋" w:eastAsia="仿宋" w:cs="Times New Roman"/>
          <w:b/>
          <w:bCs/>
          <w:sz w:val="32"/>
          <w:highlight w:val="yellow"/>
          <w:lang w:val="en-US" w:eastAsia="zh-CN"/>
        </w:rPr>
        <w:t>量</w:t>
      </w:r>
      <w:r>
        <w:rPr>
          <w:rFonts w:hint="eastAsia" w:ascii="仿宋" w:hAnsi="仿宋" w:eastAsia="仿宋"/>
          <w:b/>
          <w:bCs/>
          <w:sz w:val="32"/>
          <w:highlight w:val="yellow"/>
          <w:lang w:val="en-US" w:eastAsia="zh-CN"/>
        </w:rPr>
        <w:t>分批供货验收完成后按发票付款。</w:t>
      </w:r>
    </w:p>
    <w:p w14:paraId="688297A7">
      <w:pPr>
        <w:numPr>
          <w:ilvl w:val="0"/>
          <w:numId w:val="0"/>
        </w:numPr>
        <w:rPr>
          <w:rFonts w:hint="default" w:ascii="仿宋" w:hAnsi="仿宋" w:eastAsia="仿宋" w:cs="Times New Roman"/>
          <w:b/>
          <w:bCs/>
          <w:sz w:val="32"/>
          <w:highlight w:val="yellow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highlight w:val="yellow"/>
          <w:lang w:val="en-US" w:eastAsia="zh-CN"/>
        </w:rPr>
        <w:t>2.1</w:t>
      </w:r>
      <w:r>
        <w:rPr>
          <w:rFonts w:hint="default" w:ascii="仿宋" w:hAnsi="仿宋" w:eastAsia="仿宋" w:cs="Times New Roman"/>
          <w:b/>
          <w:bCs/>
          <w:sz w:val="32"/>
          <w:highlight w:val="yellow"/>
          <w:lang w:val="en-US" w:eastAsia="zh-CN"/>
        </w:rPr>
        <w:t>本项目最终的采购数量以</w:t>
      </w:r>
      <w:r>
        <w:rPr>
          <w:rFonts w:hint="eastAsia" w:ascii="仿宋" w:hAnsi="仿宋" w:eastAsia="仿宋" w:cs="Times New Roman"/>
          <w:b/>
          <w:bCs/>
          <w:sz w:val="32"/>
          <w:highlight w:val="yellow"/>
          <w:lang w:val="en-US" w:eastAsia="zh-CN"/>
        </w:rPr>
        <w:t>采购人</w:t>
      </w:r>
      <w:r>
        <w:rPr>
          <w:rFonts w:hint="default" w:ascii="仿宋" w:hAnsi="仿宋" w:eastAsia="仿宋" w:cs="Times New Roman"/>
          <w:b/>
          <w:bCs/>
          <w:sz w:val="32"/>
          <w:highlight w:val="yellow"/>
          <w:lang w:val="en-US" w:eastAsia="zh-CN"/>
        </w:rPr>
        <w:t>实际需求为准。</w:t>
      </w:r>
    </w:p>
    <w:p w14:paraId="50BE6D0C">
      <w:pPr>
        <w:numPr>
          <w:ilvl w:val="0"/>
          <w:numId w:val="0"/>
        </w:numPr>
        <w:rPr>
          <w:rFonts w:hint="default" w:ascii="仿宋" w:hAnsi="仿宋" w:eastAsia="仿宋" w:cs="Times New Roman"/>
          <w:b/>
          <w:bCs/>
          <w:sz w:val="32"/>
          <w:highlight w:val="yellow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highlight w:val="yellow"/>
          <w:lang w:val="en-US" w:eastAsia="zh-CN"/>
        </w:rPr>
        <w:t>2</w:t>
      </w:r>
      <w:r>
        <w:rPr>
          <w:rFonts w:hint="default" w:ascii="仿宋" w:hAnsi="仿宋" w:eastAsia="仿宋" w:cs="Times New Roman"/>
          <w:b/>
          <w:bCs/>
          <w:sz w:val="32"/>
          <w:highlight w:val="yellow"/>
          <w:lang w:val="en-US" w:eastAsia="zh-CN"/>
        </w:rPr>
        <w:t>.2实际结算金额=所报单价×实际发生量。</w:t>
      </w:r>
    </w:p>
    <w:p w14:paraId="3BC00BFA">
      <w:pPr>
        <w:pStyle w:val="2"/>
        <w:rPr>
          <w:rFonts w:hint="default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highlight w:val="yellow"/>
          <w:lang w:val="en-US" w:eastAsia="zh-CN"/>
        </w:rPr>
        <w:t>2.3最终支付总金额不超过21.85万元。</w:t>
      </w:r>
    </w:p>
    <w:p w14:paraId="1EA64225"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b/>
          <w:bCs/>
          <w:sz w:val="32"/>
          <w:lang w:val="en-US" w:eastAsia="zh-CN"/>
        </w:rPr>
        <w:t>3</w:t>
      </w:r>
      <w:r>
        <w:rPr>
          <w:rFonts w:hint="eastAsia" w:ascii="仿宋" w:hAnsi="仿宋" w:eastAsia="仿宋"/>
          <w:b/>
          <w:bCs/>
          <w:sz w:val="32"/>
        </w:rPr>
        <w:t>、送货时间：按需送货，按照医院实际需求量供货</w:t>
      </w:r>
      <w:r>
        <w:rPr>
          <w:rFonts w:hint="eastAsia" w:ascii="仿宋" w:hAnsi="仿宋" w:eastAsia="仿宋"/>
          <w:sz w:val="32"/>
        </w:rPr>
        <w:t>，在接到甲方通知的3小时内响应，三个工作日完成送货，特殊情况1天内送货。需协助两处院区工作人员发放至各科室。</w:t>
      </w:r>
    </w:p>
    <w:p w14:paraId="53FBD5D4"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b/>
          <w:bCs/>
          <w:sz w:val="32"/>
          <w:lang w:val="en-US" w:eastAsia="zh-CN"/>
        </w:rPr>
        <w:t>4</w:t>
      </w:r>
      <w:r>
        <w:rPr>
          <w:rFonts w:hint="eastAsia" w:ascii="仿宋" w:hAnsi="仿宋" w:eastAsia="仿宋"/>
          <w:b/>
          <w:bCs/>
          <w:sz w:val="32"/>
        </w:rPr>
        <w:t>、送货地点：</w:t>
      </w:r>
      <w:r>
        <w:rPr>
          <w:rFonts w:hint="eastAsia" w:ascii="仿宋" w:hAnsi="仿宋" w:eastAsia="仿宋"/>
          <w:sz w:val="32"/>
        </w:rPr>
        <w:t>雨山湖院区（湖北路45号）、秀山院区（湖南东路519号）。（</w:t>
      </w:r>
      <w:r>
        <w:rPr>
          <w:rFonts w:hint="eastAsia" w:ascii="仿宋" w:hAnsi="仿宋" w:eastAsia="仿宋"/>
          <w:sz w:val="32"/>
          <w:lang w:val="en-US" w:eastAsia="zh-CN"/>
        </w:rPr>
        <w:t>采购人</w:t>
      </w:r>
      <w:r>
        <w:rPr>
          <w:rFonts w:hint="eastAsia" w:ascii="仿宋" w:hAnsi="仿宋" w:eastAsia="仿宋"/>
          <w:sz w:val="32"/>
        </w:rPr>
        <w:t>指</w:t>
      </w:r>
      <w:r>
        <w:rPr>
          <w:rFonts w:hint="eastAsia" w:ascii="仿宋" w:hAnsi="仿宋" w:eastAsia="仿宋"/>
          <w:sz w:val="32"/>
          <w:lang w:val="en-US" w:eastAsia="zh-CN"/>
        </w:rPr>
        <w:t>定</w:t>
      </w:r>
      <w:r>
        <w:rPr>
          <w:rFonts w:hint="eastAsia" w:ascii="仿宋" w:hAnsi="仿宋" w:eastAsia="仿宋"/>
          <w:sz w:val="32"/>
        </w:rPr>
        <w:t>地点）</w:t>
      </w:r>
    </w:p>
    <w:p w14:paraId="32D08126">
      <w:pPr>
        <w:rPr>
          <w:rFonts w:hint="eastAsia" w:ascii="仿宋" w:hAnsi="仿宋" w:eastAsia="仿宋"/>
          <w:b/>
          <w:bCs/>
          <w:sz w:val="32"/>
        </w:rPr>
      </w:pPr>
      <w:r>
        <w:rPr>
          <w:rFonts w:hint="eastAsia" w:ascii="仿宋" w:hAnsi="仿宋" w:eastAsia="仿宋"/>
          <w:b/>
          <w:bCs/>
          <w:sz w:val="32"/>
          <w:lang w:val="en-US" w:eastAsia="zh-CN"/>
        </w:rPr>
        <w:t>5</w:t>
      </w:r>
      <w:r>
        <w:rPr>
          <w:rFonts w:hint="eastAsia" w:ascii="仿宋" w:hAnsi="仿宋" w:eastAsia="仿宋"/>
          <w:b/>
          <w:bCs/>
          <w:sz w:val="32"/>
        </w:rPr>
        <w:t>、质保期：1年</w:t>
      </w:r>
    </w:p>
    <w:p w14:paraId="5CCACF6E"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b/>
          <w:sz w:val="32"/>
        </w:rPr>
        <w:t>二、申请人的资格要求</w:t>
      </w:r>
      <w:r>
        <w:rPr>
          <w:rFonts w:hint="eastAsia" w:ascii="仿宋" w:hAnsi="仿宋" w:eastAsia="仿宋"/>
          <w:sz w:val="32"/>
        </w:rPr>
        <w:t>：</w:t>
      </w:r>
    </w:p>
    <w:p w14:paraId="1B3E7BC7"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（一）供应商必须具有独立承担民事责任能力；</w:t>
      </w:r>
    </w:p>
    <w:p w14:paraId="30515A4F"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（二）供应商具有履行合同所必需的设备和专业技术能力；</w:t>
      </w:r>
    </w:p>
    <w:p w14:paraId="46206D9D"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（三）供应商具有良好的商业信誉和健全的财务会计制度；</w:t>
      </w:r>
    </w:p>
    <w:p w14:paraId="6866883B"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（四）供应商具有依法缴纳税收和社会保障资金的良好记录；</w:t>
      </w:r>
    </w:p>
    <w:p w14:paraId="79618476"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（五）供应商近三年无不良信用信息记录【递交响应文件截止时间后，采购人、采购代理机构负责现场查询，以采购人、采购代理机构通过“信用中国”网站对</w:t>
      </w:r>
      <w:bookmarkStart w:id="0" w:name="_GoBack"/>
      <w:bookmarkEnd w:id="0"/>
      <w:r>
        <w:rPr>
          <w:rFonts w:hint="eastAsia" w:ascii="仿宋" w:hAnsi="仿宋" w:eastAsia="仿宋"/>
          <w:sz w:val="32"/>
        </w:rPr>
        <w:t>供应商信用信息查询记录为准。对列入失信被执行人、重大税收违法案件当事人名单的供应商，拒绝其参与采购活动（被列入失信被执行人、重大税收违法案件当事人名单但已过限制期的除外）】。</w:t>
      </w:r>
    </w:p>
    <w:p w14:paraId="74CE85A5"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（六）本项目不接受联合体报名。</w:t>
      </w:r>
    </w:p>
    <w:p w14:paraId="4CB5695B">
      <w:pPr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（七）本项目的</w:t>
      </w:r>
      <w:r>
        <w:rPr>
          <w:rFonts w:hint="eastAsia" w:ascii="仿宋" w:hAnsi="仿宋" w:eastAsia="仿宋"/>
          <w:b/>
          <w:sz w:val="32"/>
        </w:rPr>
        <w:t>特定资格要求</w:t>
      </w:r>
      <w:r>
        <w:rPr>
          <w:rFonts w:hint="eastAsia" w:ascii="仿宋" w:hAnsi="仿宋" w:eastAsia="仿宋"/>
          <w:sz w:val="32"/>
        </w:rPr>
        <w:t>：无</w:t>
      </w:r>
    </w:p>
    <w:p w14:paraId="75023A1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D4063A"/>
    <w:multiLevelType w:val="singleLevel"/>
    <w:tmpl w:val="91D4063A"/>
    <w:lvl w:ilvl="0" w:tentative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C2E62"/>
    <w:rsid w:val="3C4C2E62"/>
    <w:rsid w:val="60E71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849</Words>
  <Characters>929</Characters>
  <Lines>0</Lines>
  <Paragraphs>0</Paragraphs>
  <TotalTime>0</TotalTime>
  <ScaleCrop>false</ScaleCrop>
  <LinksUpToDate>false</LinksUpToDate>
  <CharactersWithSpaces>930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2024-12-11T09:09:00Z</dcterms:created>
  <dc:creator>高杨</dc:creator>
  <cp:lastModifiedBy>高杨</cp:lastModifiedBy>
  <dcterms:modified xsi:type="dcterms:W3CDTF">2024-12-11T09:26:14Z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33C8B944DA064796A480E15313BD87E9_11</vt:lpwstr>
  </property>
</Properties>
</file>