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D176D3">
      <w:pPr>
        <w:spacing w:line="360" w:lineRule="auto"/>
        <w:ind w:firstLine="2811" w:firstLineChars="1000"/>
        <w:rPr>
          <w:rFonts w:hint="eastAsia" w:ascii="Times New Roman" w:hAnsi="Times New Roman" w:eastAsia="宋体" w:cs="Times New Roman"/>
          <w:b/>
          <w:sz w:val="28"/>
          <w:szCs w:val="28"/>
          <w:lang w:val="en-US" w:eastAsia="zh-CN"/>
        </w:rPr>
      </w:pPr>
      <w:r>
        <w:rPr>
          <w:rFonts w:hint="eastAsia" w:ascii="Times New Roman" w:hAnsi="Times New Roman" w:eastAsia="宋体" w:cs="Times New Roman"/>
          <w:b/>
          <w:sz w:val="28"/>
          <w:szCs w:val="28"/>
          <w:lang w:val="en-US" w:eastAsia="zh-CN"/>
        </w:rPr>
        <w:t>一、精子质量分析仪参数</w:t>
      </w:r>
    </w:p>
    <w:p w14:paraId="1C95B22A">
      <w:pPr>
        <w:spacing w:line="360" w:lineRule="auto"/>
        <w:rPr>
          <w:rFonts w:hint="eastAsia" w:ascii="诺特常规" w:hAnsi="诺特常规" w:eastAsia="诺特常规"/>
          <w:b/>
          <w:bCs/>
          <w:szCs w:val="21"/>
        </w:rPr>
      </w:pPr>
      <w:r>
        <w:rPr>
          <w:rFonts w:hint="eastAsia" w:ascii="诺特常规" w:hAnsi="诺特常规" w:eastAsia="诺特常规"/>
          <w:b/>
          <w:bCs/>
          <w:szCs w:val="21"/>
        </w:rPr>
        <w:t>★1、设备类型：设备一体化，内置</w:t>
      </w:r>
      <w:r>
        <w:rPr>
          <w:rFonts w:hint="eastAsia" w:ascii="诺特常规" w:hAnsi="诺特常规" w:eastAsia="诺特常规"/>
          <w:b/>
          <w:bCs/>
          <w:szCs w:val="21"/>
          <w:lang w:val="en-US" w:eastAsia="zh-CN"/>
        </w:rPr>
        <w:t>相差</w:t>
      </w:r>
      <w:r>
        <w:rPr>
          <w:rFonts w:hint="eastAsia" w:ascii="诺特常规" w:hAnsi="诺特常规" w:eastAsia="诺特常规"/>
          <w:b/>
          <w:bCs/>
          <w:szCs w:val="21"/>
        </w:rPr>
        <w:t>显微镜、温控系统、计算机系统及精子质量分析管理系统软件等。</w:t>
      </w:r>
    </w:p>
    <w:p w14:paraId="200198B7">
      <w:pPr>
        <w:spacing w:line="360" w:lineRule="auto"/>
        <w:rPr>
          <w:rFonts w:ascii="诺特常规" w:hAnsi="诺特常规" w:eastAsia="诺特常规"/>
          <w:szCs w:val="21"/>
        </w:rPr>
      </w:pPr>
      <w:r>
        <w:rPr>
          <w:rFonts w:hint="eastAsia" w:ascii="诺特常规" w:hAnsi="诺特常规" w:eastAsia="诺特常规"/>
          <w:szCs w:val="21"/>
        </w:rPr>
        <w:t>■</w:t>
      </w:r>
      <w:r>
        <w:rPr>
          <w:rFonts w:hint="eastAsia" w:ascii="诺特常规" w:hAnsi="诺特常规" w:eastAsia="诺特常规"/>
          <w:szCs w:val="21"/>
          <w:lang w:val="en-US" w:eastAsia="zh-CN"/>
        </w:rPr>
        <w:t>2、显微镜</w:t>
      </w:r>
      <w:r>
        <w:rPr>
          <w:rFonts w:hint="eastAsia" w:ascii="诺特常规" w:hAnsi="诺特常规" w:eastAsia="诺特常规"/>
          <w:szCs w:val="21"/>
        </w:rPr>
        <w:t>具有自动聚焦并扫描采集精子动态</w:t>
      </w:r>
      <w:r>
        <w:rPr>
          <w:rFonts w:hint="eastAsia" w:ascii="诺特常规" w:hAnsi="诺特常规" w:eastAsia="诺特常规"/>
          <w:szCs w:val="21"/>
          <w:lang w:val="en-US" w:eastAsia="zh-CN"/>
        </w:rPr>
        <w:t>图像</w:t>
      </w:r>
      <w:r>
        <w:rPr>
          <w:rFonts w:hint="eastAsia" w:ascii="诺特常规" w:hAnsi="诺特常规" w:eastAsia="诺特常规"/>
          <w:szCs w:val="21"/>
        </w:rPr>
        <w:t>与形态学图像。</w:t>
      </w:r>
    </w:p>
    <w:p w14:paraId="318F934B">
      <w:pPr>
        <w:spacing w:line="360" w:lineRule="auto"/>
        <w:rPr>
          <w:rFonts w:ascii="诺特常规" w:hAnsi="诺特常规" w:eastAsia="诺特常规"/>
          <w:szCs w:val="21"/>
        </w:rPr>
      </w:pPr>
      <w:r>
        <w:rPr>
          <w:rFonts w:hint="eastAsia" w:ascii="诺特常规" w:hAnsi="诺特常规" w:eastAsia="诺特常规"/>
          <w:szCs w:val="21"/>
        </w:rPr>
        <w:t>■</w:t>
      </w:r>
      <w:r>
        <w:rPr>
          <w:rFonts w:hint="eastAsia" w:ascii="诺特常规" w:hAnsi="诺特常规" w:eastAsia="诺特常规"/>
          <w:szCs w:val="21"/>
          <w:lang w:val="en-US" w:eastAsia="zh-CN"/>
        </w:rPr>
        <w:t>3</w:t>
      </w:r>
      <w:r>
        <w:rPr>
          <w:rFonts w:hint="eastAsia" w:ascii="诺特常规" w:hAnsi="诺特常规" w:eastAsia="诺特常规"/>
          <w:szCs w:val="21"/>
        </w:rPr>
        <w:t>、温控范围：37.0℃±0.5℃。</w:t>
      </w:r>
    </w:p>
    <w:p w14:paraId="1C460941">
      <w:pPr>
        <w:spacing w:line="360" w:lineRule="auto"/>
        <w:rPr>
          <w:rFonts w:ascii="诺特常规" w:hAnsi="诺特常规" w:eastAsia="诺特常规"/>
          <w:szCs w:val="21"/>
        </w:rPr>
      </w:pPr>
      <w:r>
        <w:rPr>
          <w:rFonts w:hint="eastAsia" w:ascii="诺特常规" w:hAnsi="诺特常规" w:eastAsia="诺特常规"/>
          <w:szCs w:val="21"/>
        </w:rPr>
        <w:t>■4、设备功能：设备整机具备精子动力学分析、精子形态学分析和精子DNA损伤分析等功能。</w:t>
      </w:r>
    </w:p>
    <w:p w14:paraId="17F0D723">
      <w:pPr>
        <w:spacing w:line="360" w:lineRule="auto"/>
        <w:rPr>
          <w:rFonts w:ascii="诺特常规" w:hAnsi="诺特常规" w:eastAsia="诺特常规"/>
          <w:szCs w:val="21"/>
        </w:rPr>
      </w:pPr>
      <w:r>
        <w:rPr>
          <w:rFonts w:hint="eastAsia" w:ascii="诺特常规" w:hAnsi="诺特常规" w:eastAsia="诺特常规"/>
          <w:szCs w:val="21"/>
        </w:rPr>
        <w:t>5、质量保证：各定量检测项目的变异系数均≤</w:t>
      </w:r>
      <w:r>
        <w:rPr>
          <w:rFonts w:hint="eastAsia" w:ascii="诺特常规" w:hAnsi="诺特常规" w:eastAsia="诺特常规"/>
          <w:szCs w:val="21"/>
          <w:lang w:val="en-US" w:eastAsia="zh-CN"/>
        </w:rPr>
        <w:t>10</w:t>
      </w:r>
      <w:r>
        <w:rPr>
          <w:rFonts w:hint="eastAsia" w:ascii="诺特常规" w:hAnsi="诺特常规" w:eastAsia="诺特常规"/>
          <w:szCs w:val="21"/>
        </w:rPr>
        <w:t>%。</w:t>
      </w:r>
    </w:p>
    <w:p w14:paraId="03E5EF9E">
      <w:pPr>
        <w:spacing w:line="360" w:lineRule="auto"/>
        <w:rPr>
          <w:rFonts w:ascii="诺特常规" w:hAnsi="诺特常规" w:eastAsia="诺特常规"/>
          <w:szCs w:val="21"/>
        </w:rPr>
      </w:pPr>
      <w:r>
        <w:rPr>
          <w:rFonts w:hint="eastAsia" w:ascii="诺特常规" w:hAnsi="诺特常规" w:eastAsia="诺特常规"/>
          <w:szCs w:val="21"/>
        </w:rPr>
        <w:t>6、分析时间：≤</w:t>
      </w:r>
      <w:r>
        <w:rPr>
          <w:rFonts w:hint="eastAsia" w:ascii="诺特常规" w:hAnsi="诺特常规" w:eastAsia="诺特常规"/>
          <w:szCs w:val="21"/>
          <w:lang w:val="en-US" w:eastAsia="zh-CN"/>
        </w:rPr>
        <w:t>10</w:t>
      </w:r>
      <w:r>
        <w:rPr>
          <w:rFonts w:hint="eastAsia" w:ascii="诺特常规" w:hAnsi="诺特常规" w:eastAsia="诺特常规"/>
          <w:szCs w:val="21"/>
        </w:rPr>
        <w:t>分钟/单样本。</w:t>
      </w:r>
    </w:p>
    <w:p w14:paraId="58C7126B">
      <w:pPr>
        <w:spacing w:line="360" w:lineRule="auto"/>
        <w:rPr>
          <w:rFonts w:ascii="诺特常规" w:hAnsi="诺特常规" w:eastAsia="诺特常规"/>
          <w:szCs w:val="21"/>
        </w:rPr>
      </w:pPr>
      <w:r>
        <w:rPr>
          <w:rFonts w:hint="eastAsia" w:ascii="诺特常规" w:hAnsi="诺特常规" w:eastAsia="诺特常规"/>
          <w:szCs w:val="21"/>
        </w:rPr>
        <w:t>7、报警功能: 设备具备温度及其他异常提示功能。</w:t>
      </w:r>
    </w:p>
    <w:p w14:paraId="0832A5C2">
      <w:pPr>
        <w:spacing w:line="360" w:lineRule="auto"/>
        <w:rPr>
          <w:rFonts w:ascii="诺特常规" w:hAnsi="诺特常规" w:eastAsia="诺特常规"/>
          <w:szCs w:val="21"/>
        </w:rPr>
      </w:pPr>
      <w:r>
        <w:rPr>
          <w:rFonts w:hint="eastAsia" w:ascii="诺特常规" w:hAnsi="诺特常规" w:eastAsia="诺特常规"/>
          <w:szCs w:val="21"/>
        </w:rPr>
        <w:t>■8、报告内容：检验报告可编辑，除固定项目外，还可报告精液理学性状类、精子形态学分析类、精子动力学分析类、DNA损伤分析类等，支持图文报告。</w:t>
      </w:r>
    </w:p>
    <w:p w14:paraId="4645839A">
      <w:pPr>
        <w:spacing w:line="360" w:lineRule="auto"/>
        <w:rPr>
          <w:rFonts w:ascii="诺特常规" w:hAnsi="诺特常规" w:eastAsia="诺特常规"/>
          <w:szCs w:val="21"/>
        </w:rPr>
      </w:pPr>
      <w:r>
        <w:rPr>
          <w:rFonts w:hint="eastAsia" w:ascii="诺特常规" w:hAnsi="诺特常规" w:eastAsia="诺特常规"/>
          <w:szCs w:val="21"/>
        </w:rPr>
        <w:t>9、数据库管理：数据存储量大，支持图形存储，可溯源。</w:t>
      </w:r>
    </w:p>
    <w:p w14:paraId="6A81C5A5">
      <w:pPr>
        <w:spacing w:line="360" w:lineRule="auto"/>
        <w:rPr>
          <w:rFonts w:ascii="诺特常规" w:hAnsi="诺特常规" w:eastAsia="诺特常规"/>
          <w:szCs w:val="21"/>
        </w:rPr>
      </w:pPr>
      <w:r>
        <w:rPr>
          <w:rFonts w:hint="eastAsia" w:ascii="诺特常规" w:hAnsi="诺特常规" w:eastAsia="诺特常规"/>
          <w:szCs w:val="21"/>
        </w:rPr>
        <w:t>10、设备具有与实验室LIS相连接的功能。</w:t>
      </w:r>
    </w:p>
    <w:p w14:paraId="1E748A5F">
      <w:pPr>
        <w:rPr>
          <w:rFonts w:hint="eastAsia"/>
          <w:b/>
          <w:bCs/>
          <w:color w:val="FF0000"/>
          <w:sz w:val="30"/>
          <w:szCs w:val="30"/>
          <w:lang w:val="en-US" w:eastAsia="zh-CN"/>
        </w:rPr>
      </w:pPr>
      <w:r>
        <w:rPr>
          <w:rFonts w:hint="eastAsia"/>
          <w:b/>
          <w:bCs/>
          <w:color w:val="FF0000"/>
          <w:sz w:val="30"/>
          <w:szCs w:val="30"/>
          <w:lang w:val="en-US" w:eastAsia="zh-CN"/>
        </w:rPr>
        <w:t>注：</w:t>
      </w:r>
    </w:p>
    <w:p w14:paraId="5F520730">
      <w:pPr>
        <w:rPr>
          <w:rFonts w:hint="eastAsia"/>
          <w:b/>
          <w:bCs/>
          <w:color w:val="FF0000"/>
          <w:sz w:val="30"/>
          <w:szCs w:val="30"/>
          <w:lang w:val="en-US" w:eastAsia="zh-CN"/>
        </w:rPr>
      </w:pPr>
      <w:r>
        <w:rPr>
          <w:rFonts w:hint="eastAsia"/>
          <w:b/>
          <w:bCs/>
          <w:color w:val="FF0000"/>
          <w:sz w:val="30"/>
          <w:szCs w:val="30"/>
          <w:lang w:val="en-US" w:eastAsia="zh-CN"/>
        </w:rPr>
        <w:t>1、比选文件中用“★”标注的技术参数为不允许负偏离的实质性要求和条件（如果比选文件中有标注“★”的技术参数）。供应商对用“★”标注的技术参数的响应情况须在响应文件中提供相应的证明材料予以证明。否则，评审小组视为对比选文件中用“★”标注的技术参数出现负偏离。</w:t>
      </w:r>
    </w:p>
    <w:p w14:paraId="2F2057CC">
      <w:pPr>
        <w:rPr>
          <w:rFonts w:hint="eastAsia"/>
          <w:b/>
          <w:bCs/>
          <w:color w:val="FF0000"/>
          <w:sz w:val="30"/>
          <w:szCs w:val="30"/>
          <w:lang w:val="en-US" w:eastAsia="zh-CN"/>
        </w:rPr>
      </w:pPr>
      <w:r>
        <w:rPr>
          <w:rFonts w:hint="eastAsia"/>
          <w:b/>
          <w:bCs/>
          <w:color w:val="FF0000"/>
          <w:sz w:val="30"/>
          <w:szCs w:val="30"/>
          <w:lang w:val="en-US" w:eastAsia="zh-CN"/>
        </w:rPr>
        <w:t>2、供应商的响应文件中提供的相关技术证明文件是指：医疗器械注册证、第三方检测报告、产品说明书、产品彩页，提供其中之一即可。</w:t>
      </w:r>
    </w:p>
    <w:p w14:paraId="3DD98743">
      <w:pPr>
        <w:spacing w:line="360" w:lineRule="auto"/>
        <w:ind w:firstLine="3200" w:firstLineChars="1000"/>
        <w:rPr>
          <w:rFonts w:hint="eastAsia"/>
          <w:b/>
          <w:sz w:val="28"/>
          <w:szCs w:val="28"/>
        </w:rPr>
      </w:pPr>
      <w:r>
        <w:rPr>
          <w:rFonts w:hint="eastAsia"/>
          <w:sz w:val="32"/>
          <w:szCs w:val="32"/>
          <w:lang w:val="en-US" w:eastAsia="zh-CN"/>
        </w:rPr>
        <w:t>二、</w:t>
      </w:r>
      <w:r>
        <w:rPr>
          <w:rFonts w:hint="eastAsia"/>
          <w:b/>
          <w:sz w:val="28"/>
          <w:szCs w:val="28"/>
        </w:rPr>
        <w:t>商务要求</w:t>
      </w:r>
    </w:p>
    <w:p w14:paraId="61D88097">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一、（本项目商务要求为不允许负偏离的实质性要求和条件）</w:t>
      </w:r>
    </w:p>
    <w:p w14:paraId="7152E267">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1、所有货物（包括零部件）须为全新的、未使用过的原装正品。提交货物（含相关服务）的技术参数和配置应与比选文件的要求及其响应文件的技术要求（如果被评审小组接受的话）相一致。若比选文件及响应文件中无相应说明，则以国家有关部门最新颁布的相应标准及规范为准。</w:t>
      </w:r>
    </w:p>
    <w:p w14:paraId="464502E1">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2、所有货物必须符合《医疗器械标准管理办法》等国家相关强制性要求。</w:t>
      </w:r>
    </w:p>
    <w:p w14:paraId="71B91107">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2.1供应商所报货物须在响应文件中提供符合以下条件之一的相应材料，否则视为商务要求未完全响应：</w:t>
      </w:r>
    </w:p>
    <w:p w14:paraId="62EEA291">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条件一：医疗器械的第一类医疗器械备案凭证复印件和第一类医疗器械备案信息证明材料复印件。</w:t>
      </w:r>
    </w:p>
    <w:p w14:paraId="14D4C277">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条件二：医疗器械注册证复印件和医疗器械注册登记表复印件（医疗器械注册证批准日期为2016年7月1日以后的，无需提供医疗器械注册登记表），否则视为商务要求未完全响应。</w:t>
      </w:r>
    </w:p>
    <w:p w14:paraId="1A03AFE8">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3、技术支持</w:t>
      </w:r>
    </w:p>
    <w:p w14:paraId="286ECC57">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3.1成交供应商应向采购人提供全方位及时而有效的技术支持和服务。</w:t>
      </w:r>
    </w:p>
    <w:p w14:paraId="2438C31F">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3.2成交供应商负责供货、运输并安装调试完毕。</w:t>
      </w:r>
    </w:p>
    <w:p w14:paraId="56B09666">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4、质保及售后服务：</w:t>
      </w:r>
    </w:p>
    <w:p w14:paraId="02EA1CBE">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4.1</w:t>
      </w:r>
      <w:r>
        <w:rPr>
          <w:rFonts w:hint="eastAsia" w:ascii="宋体" w:hAnsi="宋体" w:eastAsia="宋体" w:cs="宋体"/>
          <w:b w:val="0"/>
          <w:bCs w:val="0"/>
          <w:kern w:val="2"/>
          <w:sz w:val="24"/>
          <w:szCs w:val="24"/>
          <w:highlight w:val="yellow"/>
          <w:lang w:val="en-US" w:eastAsia="zh-CN" w:bidi="ar-SA"/>
        </w:rPr>
        <w:t>供应商对所报货物须提供至少5年及以上的整套设备质保服务</w:t>
      </w:r>
      <w:r>
        <w:rPr>
          <w:rFonts w:hint="eastAsia" w:ascii="宋体" w:hAnsi="宋体" w:eastAsia="宋体" w:cs="宋体"/>
          <w:b w:val="0"/>
          <w:bCs w:val="0"/>
          <w:kern w:val="2"/>
          <w:sz w:val="24"/>
          <w:szCs w:val="24"/>
          <w:lang w:val="en-US" w:eastAsia="zh-CN" w:bidi="ar-SA"/>
        </w:rPr>
        <w:t>，费用均已包含在总报价中。质保期满后，应提供优先的有偿售后服务及按不高于响应文件中主要配件、易损件清单所报价格供应原厂零配件等。软件终身免费升级、免费使用。</w:t>
      </w:r>
    </w:p>
    <w:p w14:paraId="0D0552FF">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4.2成交供应商须设有维修服务电话，负责解答用户在货物使用中遇到的问题，及时提出解决问题的建议和操作方法。</w:t>
      </w:r>
    </w:p>
    <w:p w14:paraId="04583D0E">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4.3售后服务响应时间：如货物出现质量问题，成交供应商须2小时内响应,电话响应无法解决，成交供应商必须在接报修电话24小时内到达现场,48小时内解决问题。如不能解决的，成交供应商需免费提供备品备件供采购人使用。免费质保期内如货物出现质量问题，成交供应商负责免费修复，对于无法修复的情况，成交供应商负责免费更换。</w:t>
      </w:r>
    </w:p>
    <w:p w14:paraId="596589C1">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5、培训：</w:t>
      </w:r>
    </w:p>
    <w:p w14:paraId="3D4C8E6D">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5.1成交供应商应对采购人的操作人员提供现场培训。</w:t>
      </w:r>
    </w:p>
    <w:p w14:paraId="22DA1829">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5.2现场培训能够根据采购人需要，合理安排，使采购人能够全面掌握设备的工作原理，熟练独立操作设备，并能够对设备进行日常维护与保养，简单故障诊断与排除。</w:t>
      </w:r>
    </w:p>
    <w:p w14:paraId="4CFC18AE">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5.3培训费用包含在总报价中。</w:t>
      </w:r>
    </w:p>
    <w:p w14:paraId="74FE61A2">
      <w:pPr>
        <w:spacing w:line="360" w:lineRule="auto"/>
        <w:rPr>
          <w:rFonts w:hint="eastAsia" w:ascii="宋体" w:hAnsi="宋体" w:eastAsia="宋体" w:cs="宋体"/>
          <w:b w:val="0"/>
          <w:bCs w:val="0"/>
          <w:kern w:val="2"/>
          <w:sz w:val="24"/>
          <w:szCs w:val="24"/>
          <w:highlight w:val="yellow"/>
          <w:lang w:val="en-US" w:eastAsia="zh-CN" w:bidi="ar-SA"/>
        </w:rPr>
      </w:pPr>
      <w:r>
        <w:rPr>
          <w:rFonts w:hint="eastAsia" w:ascii="宋体" w:hAnsi="宋体" w:eastAsia="宋体" w:cs="宋体"/>
          <w:b w:val="0"/>
          <w:bCs w:val="0"/>
          <w:kern w:val="2"/>
          <w:sz w:val="24"/>
          <w:szCs w:val="24"/>
          <w:highlight w:val="yellow"/>
          <w:lang w:val="en-US" w:eastAsia="zh-CN" w:bidi="ar-SA"/>
        </w:rPr>
        <w:t>6、供货期：自合同签订之日起30日内供货并安装调试完毕。</w:t>
      </w:r>
    </w:p>
    <w:p w14:paraId="3C162161">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7、供货与安装地点：马鞍山市临床检验中心。</w:t>
      </w:r>
    </w:p>
    <w:p w14:paraId="08CD6375">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8、验  收：</w:t>
      </w:r>
    </w:p>
    <w:p w14:paraId="5B4B21C4">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8.1采购人和相关部门按照比选文件和响应文件承诺进行验收。比选文件没有规定和响应文件没有相应承诺的，按照下列原则进行验收：有国家标准的按照国家标准验收，没有国家标准的按行业标准验收，无行业标准的按地方或企业标准验收，成交供应商予以配合。涉及需要由质检或行业主管部门验收的项目，采购人须约请相关部门和专家参加项目验收。所有需要质检部门进行检测才能使用的设备，投标报价中必须包含首次检测费用。</w:t>
      </w:r>
    </w:p>
    <w:p w14:paraId="417D307B">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8.2货物在验收时，供应商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(如产品质量检验报告、国家相关检测机构出具的检验报告等）等文件汇集成册交付采购人和应由成交供应商提供的必要文件。</w:t>
      </w:r>
    </w:p>
    <w:p w14:paraId="3FCAB47E">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8.3成交供应商应根据采购人使用单位的技术要求提供相应的软硬件产品。由成交供应商所提供的设备部件间的连线和插接件均应视为设备内部器件，包含在相应的设备之中。</w:t>
      </w:r>
    </w:p>
    <w:p w14:paraId="41CC34A2">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8.4所有货物安装时若需使用特殊的接头、插座、线缆、线槽、电管、线卡、桥架、线盒、软管、特殊安装工具等备件由成交供应商提供，费用包含在总报价中。</w:t>
      </w:r>
    </w:p>
    <w:p w14:paraId="65474D41">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8.5对货物进行全面的验收，对验收中暴露出来的问题，成交供应商应及时进行整改，最终验收合格后，采购人向成交供应商签发最终验收证明,若出现2次质量问题将取消供应商此次中标。</w:t>
      </w:r>
    </w:p>
    <w:p w14:paraId="78FECD8E">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8.6成交供应商应向采购人提供安装调试过程中的各种文档资料,以便采购人今后能掌握操作和维护方法。</w:t>
      </w:r>
    </w:p>
    <w:p w14:paraId="59E610B0">
      <w:pPr>
        <w:spacing w:line="360" w:lineRule="auto"/>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9、付款方式：成交供应商供货并安装调试完毕，采购人自验收合格之日起30日内支付合同总金额的90%；自验收合格之日起满12个月无质量及售后服务问题，采购人在30日内支付合同总金额的10%。</w:t>
      </w:r>
    </w:p>
    <w:p w14:paraId="496B3848">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10、总报价包括了履行合同所有内容的全部费用。总报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14:paraId="43C2697A">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诺特常规">
    <w:altName w:val="微软雅黑"/>
    <w:panose1 w:val="00000000000000000000"/>
    <w:charset w:val="86"/>
    <w:family w:val="swiss"/>
    <w:pitch w:val="default"/>
    <w:sig w:usb0="00000000" w:usb1="00000000" w:usb2="00000016" w:usb3="00000000" w:csb0="002E0107"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5E6D36"/>
    <w:rsid w:val="725E6D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2024-12-02T08:12:00Z</dcterms:created>
  <dc:creator>高杨</dc:creator>
  <cp:lastModifiedBy>高杨</cp:lastModifiedBy>
  <dcterms:modified xsi:type="dcterms:W3CDTF">2024-12-02T08:13:23Z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B30B8995E0B94341ACC0F34B8F6D920D_11</vt:lpwstr>
  </property>
</Properties>
</file>