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F8E789E">
      <w:pPr>
        <w:spacing w:line="360" w:lineRule="auto"/>
        <w:ind w:firstLine="3200" w:firstLineChars="1000"/>
        <w:rPr>
          <w:rFonts w:hint="eastAsia" w:eastAsia="宋体"/>
          <w:b/>
          <w:sz w:val="28"/>
          <w:szCs w:val="28"/>
          <w:lang w:eastAsia="zh-CN"/>
        </w:rPr>
      </w:pPr>
      <w:r>
        <w:rPr>
          <w:rFonts w:hint="eastAsia"/>
          <w:sz w:val="32"/>
          <w:szCs w:val="32"/>
          <w:lang w:val="en-US" w:eastAsia="zh-CN"/>
        </w:rPr>
        <w:t>一、</w:t>
      </w:r>
      <w:r>
        <w:rPr>
          <w:rFonts w:hint="eastAsia"/>
          <w:b/>
          <w:sz w:val="28"/>
          <w:szCs w:val="28"/>
          <w:lang w:val="en-US" w:eastAsia="zh-CN"/>
        </w:rPr>
        <w:t>技术参数</w:t>
      </w:r>
    </w:p>
    <w:p w14:paraId="0A57C307">
      <w:pPr>
        <w:spacing w:line="360" w:lineRule="auto"/>
        <w:jc w:val="both"/>
        <w:rPr>
          <w:rFonts w:hint="eastAsia"/>
          <w:b/>
          <w:bCs/>
          <w:sz w:val="24"/>
          <w:szCs w:val="24"/>
        </w:rPr>
      </w:pPr>
      <w:r>
        <w:rPr>
          <w:rFonts w:hint="eastAsia"/>
          <w:b/>
          <w:bCs/>
          <w:sz w:val="24"/>
          <w:szCs w:val="24"/>
          <w:lang w:eastAsia="zh-CN"/>
        </w:rPr>
        <w:t>（</w:t>
      </w:r>
      <w:r>
        <w:rPr>
          <w:rFonts w:hint="eastAsia"/>
          <w:b/>
          <w:bCs/>
          <w:sz w:val="24"/>
          <w:szCs w:val="24"/>
          <w:lang w:val="en-US" w:eastAsia="zh-CN"/>
        </w:rPr>
        <w:t>一</w:t>
      </w:r>
      <w:r>
        <w:rPr>
          <w:rFonts w:hint="eastAsia"/>
          <w:b/>
          <w:bCs/>
          <w:sz w:val="24"/>
          <w:szCs w:val="24"/>
          <w:lang w:eastAsia="zh-CN"/>
        </w:rPr>
        <w:t>）</w:t>
      </w:r>
      <w:r>
        <w:rPr>
          <w:rFonts w:hint="eastAsia"/>
          <w:b/>
          <w:bCs/>
          <w:sz w:val="24"/>
          <w:szCs w:val="24"/>
        </w:rPr>
        <w:t>主机参数</w:t>
      </w:r>
    </w:p>
    <w:p w14:paraId="02CFDEDC">
      <w:pPr>
        <w:spacing w:line="360" w:lineRule="auto"/>
        <w:jc w:val="both"/>
        <w:rPr>
          <w:rFonts w:hint="eastAsia"/>
          <w:sz w:val="24"/>
          <w:szCs w:val="24"/>
        </w:rPr>
      </w:pPr>
      <w:r>
        <w:rPr>
          <w:rFonts w:hint="eastAsia"/>
          <w:sz w:val="24"/>
          <w:szCs w:val="24"/>
          <w:lang w:val="en-US" w:eastAsia="zh-CN"/>
        </w:rPr>
        <w:t>1.</w:t>
      </w:r>
      <w:r>
        <w:rPr>
          <w:rFonts w:hint="eastAsia"/>
          <w:sz w:val="24"/>
          <w:szCs w:val="24"/>
        </w:rPr>
        <w:t>1.主机界面一体化全触屏式智能操作，≥7.0 英寸LCD液晶显示屏。</w:t>
      </w:r>
    </w:p>
    <w:p w14:paraId="5B34C1AF">
      <w:pPr>
        <w:spacing w:line="360" w:lineRule="auto"/>
        <w:jc w:val="both"/>
        <w:rPr>
          <w:rFonts w:hint="eastAsia"/>
          <w:sz w:val="24"/>
          <w:szCs w:val="24"/>
        </w:rPr>
      </w:pPr>
      <w:r>
        <w:rPr>
          <w:rFonts w:hint="eastAsia"/>
          <w:sz w:val="24"/>
          <w:szCs w:val="24"/>
          <w:lang w:val="en-US" w:eastAsia="zh-CN"/>
        </w:rPr>
        <w:t>1.</w:t>
      </w:r>
      <w:r>
        <w:rPr>
          <w:rFonts w:hint="eastAsia"/>
          <w:sz w:val="24"/>
          <w:szCs w:val="24"/>
        </w:rPr>
        <w:t>2.触屏界面同时具有：汽化切割、消融凝血、消融定时功能；汽化功率≤</w:t>
      </w:r>
      <w:r>
        <w:rPr>
          <w:rFonts w:hint="eastAsia"/>
          <w:sz w:val="24"/>
          <w:szCs w:val="24"/>
          <w:lang w:val="en-US" w:eastAsia="zh-CN"/>
        </w:rPr>
        <w:t>36</w:t>
      </w:r>
      <w:r>
        <w:rPr>
          <w:rFonts w:hint="eastAsia"/>
          <w:sz w:val="24"/>
          <w:szCs w:val="24"/>
        </w:rPr>
        <w:t>0W， 档</w:t>
      </w:r>
      <w:r>
        <w:rPr>
          <w:rFonts w:hint="eastAsia"/>
          <w:sz w:val="24"/>
          <w:szCs w:val="24"/>
          <w:lang w:val="en-US" w:eastAsia="zh-CN"/>
        </w:rPr>
        <w:t>位</w:t>
      </w:r>
      <w:r>
        <w:rPr>
          <w:rFonts w:hint="eastAsia"/>
          <w:sz w:val="24"/>
          <w:szCs w:val="24"/>
        </w:rPr>
        <w:t>可调</w:t>
      </w:r>
      <w:r>
        <w:rPr>
          <w:rFonts w:hint="eastAsia"/>
          <w:sz w:val="24"/>
          <w:szCs w:val="24"/>
          <w:lang w:val="en-US" w:eastAsia="zh-CN"/>
        </w:rPr>
        <w:t>或自动调节</w:t>
      </w:r>
      <w:r>
        <w:rPr>
          <w:rFonts w:hint="eastAsia"/>
          <w:sz w:val="24"/>
          <w:szCs w:val="24"/>
        </w:rPr>
        <w:t>；消融止血功率≤60W</w:t>
      </w:r>
      <w:r>
        <w:rPr>
          <w:rFonts w:hint="eastAsia"/>
          <w:sz w:val="24"/>
          <w:szCs w:val="24"/>
          <w:lang w:eastAsia="zh-CN"/>
        </w:rPr>
        <w:t>，</w:t>
      </w:r>
      <w:r>
        <w:rPr>
          <w:rFonts w:hint="eastAsia"/>
          <w:sz w:val="24"/>
          <w:szCs w:val="24"/>
        </w:rPr>
        <w:t>档</w:t>
      </w:r>
      <w:r>
        <w:rPr>
          <w:rFonts w:hint="eastAsia"/>
          <w:sz w:val="24"/>
          <w:szCs w:val="24"/>
          <w:lang w:val="en-US" w:eastAsia="zh-CN"/>
        </w:rPr>
        <w:t>位</w:t>
      </w:r>
      <w:r>
        <w:rPr>
          <w:rFonts w:hint="eastAsia"/>
          <w:sz w:val="24"/>
          <w:szCs w:val="24"/>
        </w:rPr>
        <w:t>可调</w:t>
      </w:r>
      <w:r>
        <w:rPr>
          <w:rFonts w:hint="eastAsia"/>
          <w:sz w:val="24"/>
          <w:szCs w:val="24"/>
          <w:lang w:val="en-US" w:eastAsia="zh-CN"/>
        </w:rPr>
        <w:t>或自动调节</w:t>
      </w:r>
      <w:r>
        <w:rPr>
          <w:rFonts w:hint="eastAsia"/>
          <w:sz w:val="24"/>
          <w:szCs w:val="24"/>
        </w:rPr>
        <w:t>，同时每一档位具有半档功率可操作，同时输出误差范围不超过±20%；时间从 0～9 秒可调，0 档不计时。</w:t>
      </w:r>
    </w:p>
    <w:p w14:paraId="35786275">
      <w:pPr>
        <w:spacing w:line="360" w:lineRule="auto"/>
        <w:jc w:val="both"/>
        <w:rPr>
          <w:rFonts w:hint="eastAsia"/>
          <w:b/>
          <w:bCs/>
          <w:sz w:val="24"/>
          <w:szCs w:val="24"/>
        </w:rPr>
      </w:pPr>
      <w:r>
        <w:rPr>
          <w:rFonts w:hint="eastAsia"/>
          <w:b/>
          <w:bCs/>
          <w:sz w:val="24"/>
          <w:szCs w:val="24"/>
        </w:rPr>
        <w:t>★</w:t>
      </w:r>
      <w:r>
        <w:rPr>
          <w:rFonts w:hint="eastAsia"/>
          <w:b/>
          <w:bCs/>
          <w:sz w:val="24"/>
          <w:szCs w:val="24"/>
          <w:lang w:val="en-US" w:eastAsia="zh-CN"/>
        </w:rPr>
        <w:t>1.3</w:t>
      </w:r>
      <w:r>
        <w:rPr>
          <w:rFonts w:hint="eastAsia"/>
          <w:b/>
          <w:bCs/>
          <w:sz w:val="24"/>
          <w:szCs w:val="24"/>
        </w:rPr>
        <w:t>.等离子体止血、消融温度</w:t>
      </w:r>
      <w:r>
        <w:rPr>
          <w:rFonts w:hint="eastAsia"/>
          <w:b/>
          <w:bCs/>
          <w:sz w:val="24"/>
          <w:szCs w:val="24"/>
          <w:lang w:val="en-US" w:eastAsia="zh-CN"/>
        </w:rPr>
        <w:t>可控制在</w:t>
      </w:r>
      <w:r>
        <w:rPr>
          <w:rFonts w:hint="eastAsia"/>
          <w:b/>
          <w:bCs/>
          <w:sz w:val="24"/>
          <w:szCs w:val="24"/>
        </w:rPr>
        <w:t xml:space="preserve"> 40～60℃</w:t>
      </w:r>
      <w:r>
        <w:rPr>
          <w:rFonts w:hint="eastAsia"/>
          <w:b/>
          <w:bCs/>
          <w:sz w:val="24"/>
          <w:szCs w:val="24"/>
          <w:lang w:eastAsia="zh-CN"/>
        </w:rPr>
        <w:t>，</w:t>
      </w:r>
      <w:r>
        <w:rPr>
          <w:rFonts w:hint="eastAsia"/>
          <w:b/>
          <w:bCs/>
          <w:sz w:val="24"/>
          <w:szCs w:val="24"/>
        </w:rPr>
        <w:t>等离子体镜下汽化、切割温度</w:t>
      </w:r>
      <w:r>
        <w:rPr>
          <w:rFonts w:hint="eastAsia"/>
          <w:b/>
          <w:bCs/>
          <w:sz w:val="24"/>
          <w:szCs w:val="24"/>
          <w:lang w:val="en-US" w:eastAsia="zh-CN"/>
        </w:rPr>
        <w:t>可控制在</w:t>
      </w:r>
      <w:r>
        <w:rPr>
          <w:rFonts w:hint="eastAsia"/>
          <w:b/>
          <w:bCs/>
          <w:sz w:val="24"/>
          <w:szCs w:val="24"/>
        </w:rPr>
        <w:t>40～70℃。</w:t>
      </w:r>
    </w:p>
    <w:p w14:paraId="1CBA5B8C">
      <w:pPr>
        <w:spacing w:line="360" w:lineRule="auto"/>
        <w:jc w:val="both"/>
        <w:rPr>
          <w:rFonts w:hint="eastAsia"/>
          <w:sz w:val="24"/>
          <w:szCs w:val="24"/>
        </w:rPr>
      </w:pPr>
      <w:r>
        <w:rPr>
          <w:rFonts w:hint="eastAsia"/>
          <w:sz w:val="24"/>
          <w:szCs w:val="24"/>
          <w:lang w:val="en-US" w:eastAsia="zh-CN"/>
        </w:rPr>
        <w:t>1.4</w:t>
      </w:r>
      <w:r>
        <w:rPr>
          <w:rFonts w:hint="eastAsia"/>
          <w:sz w:val="24"/>
          <w:szCs w:val="24"/>
        </w:rPr>
        <w:t>双极或多极设计，</w:t>
      </w:r>
      <w:r>
        <w:rPr>
          <w:rFonts w:hint="eastAsia"/>
          <w:sz w:val="24"/>
          <w:szCs w:val="24"/>
          <w:lang w:val="en-US" w:eastAsia="zh-CN"/>
        </w:rPr>
        <w:t>无需</w:t>
      </w:r>
      <w:r>
        <w:rPr>
          <w:rFonts w:hint="eastAsia"/>
          <w:sz w:val="24"/>
          <w:szCs w:val="24"/>
        </w:rPr>
        <w:t>负极板。</w:t>
      </w:r>
    </w:p>
    <w:p w14:paraId="75B96CD5">
      <w:pPr>
        <w:spacing w:line="360" w:lineRule="auto"/>
        <w:jc w:val="both"/>
        <w:rPr>
          <w:rFonts w:hint="eastAsia"/>
          <w:sz w:val="24"/>
          <w:szCs w:val="24"/>
          <w:lang w:eastAsia="zh-CN"/>
        </w:rPr>
      </w:pPr>
      <w:r>
        <w:rPr>
          <w:rFonts w:hint="eastAsia"/>
          <w:sz w:val="24"/>
          <w:szCs w:val="24"/>
          <w:lang w:val="en-US" w:eastAsia="zh-CN"/>
        </w:rPr>
        <w:t>1.</w:t>
      </w:r>
      <w:r>
        <w:rPr>
          <w:rFonts w:hint="eastAsia"/>
          <w:sz w:val="24"/>
          <w:szCs w:val="24"/>
        </w:rPr>
        <w:t>5.主机和刀头均有芯片，功率档位根据手术类型设定</w:t>
      </w:r>
      <w:r>
        <w:rPr>
          <w:rFonts w:hint="eastAsia"/>
          <w:sz w:val="24"/>
          <w:szCs w:val="24"/>
          <w:lang w:eastAsia="zh-CN"/>
        </w:rPr>
        <w:t>。</w:t>
      </w:r>
    </w:p>
    <w:p w14:paraId="27658091">
      <w:pPr>
        <w:spacing w:line="360" w:lineRule="auto"/>
        <w:jc w:val="both"/>
        <w:rPr>
          <w:rFonts w:hint="eastAsia"/>
          <w:sz w:val="24"/>
          <w:szCs w:val="24"/>
        </w:rPr>
      </w:pPr>
      <w:r>
        <w:rPr>
          <w:rFonts w:hint="eastAsia"/>
          <w:sz w:val="24"/>
          <w:szCs w:val="24"/>
          <w:lang w:val="en-US" w:eastAsia="zh-CN"/>
        </w:rPr>
        <w:t>1.</w:t>
      </w:r>
      <w:r>
        <w:rPr>
          <w:rFonts w:hint="eastAsia"/>
          <w:sz w:val="24"/>
          <w:szCs w:val="24"/>
        </w:rPr>
        <w:t>6.主机采用全智能数字控制电路，具备以下了四种功能：</w:t>
      </w:r>
    </w:p>
    <w:p w14:paraId="520ECF5E">
      <w:pPr>
        <w:spacing w:line="360" w:lineRule="auto"/>
        <w:ind w:firstLine="240" w:firstLineChars="100"/>
        <w:jc w:val="both"/>
        <w:rPr>
          <w:rFonts w:hint="eastAsia"/>
          <w:sz w:val="24"/>
          <w:szCs w:val="24"/>
        </w:rPr>
      </w:pPr>
      <w:r>
        <w:rPr>
          <w:rFonts w:hint="eastAsia"/>
          <w:sz w:val="24"/>
          <w:szCs w:val="24"/>
          <w:lang w:val="en-US" w:eastAsia="zh-CN"/>
        </w:rPr>
        <w:t>1.</w:t>
      </w:r>
      <w:r>
        <w:rPr>
          <w:rFonts w:hint="eastAsia"/>
          <w:sz w:val="24"/>
          <w:szCs w:val="24"/>
        </w:rPr>
        <w:t>6.1 具有消融全时监控负载反馈信息，当消融达到最佳状态时，主机能通过双极消融刀头反馈阻抗信息并能自动调节阻抗和能量的大小，防止过度治疗和温度上升。</w:t>
      </w:r>
    </w:p>
    <w:p w14:paraId="394B0D54">
      <w:pPr>
        <w:spacing w:line="360" w:lineRule="auto"/>
        <w:ind w:firstLine="240" w:firstLineChars="100"/>
        <w:jc w:val="both"/>
        <w:rPr>
          <w:rFonts w:hint="eastAsia"/>
          <w:sz w:val="24"/>
          <w:szCs w:val="24"/>
        </w:rPr>
      </w:pPr>
      <w:r>
        <w:rPr>
          <w:rFonts w:hint="eastAsia"/>
          <w:sz w:val="24"/>
          <w:szCs w:val="24"/>
          <w:lang w:val="en-US" w:eastAsia="zh-CN"/>
        </w:rPr>
        <w:t>1.</w:t>
      </w:r>
      <w:r>
        <w:rPr>
          <w:rFonts w:hint="eastAsia"/>
          <w:sz w:val="24"/>
          <w:szCs w:val="24"/>
        </w:rPr>
        <w:t>6.2 具有功率档位消融深度程控技术，保证了肥厚性部位组织达到一次性更好、更彻底的治疗，减少病人重复治疗费用及痛苦。</w:t>
      </w:r>
    </w:p>
    <w:p w14:paraId="47795710">
      <w:pPr>
        <w:spacing w:line="360" w:lineRule="auto"/>
        <w:ind w:firstLine="240" w:firstLineChars="100"/>
        <w:jc w:val="both"/>
        <w:rPr>
          <w:rFonts w:hint="eastAsia"/>
          <w:sz w:val="24"/>
          <w:szCs w:val="24"/>
        </w:rPr>
      </w:pPr>
      <w:r>
        <w:rPr>
          <w:rFonts w:hint="eastAsia"/>
          <w:sz w:val="24"/>
          <w:szCs w:val="24"/>
          <w:lang w:val="en-US" w:eastAsia="zh-CN"/>
        </w:rPr>
        <w:t>1.</w:t>
      </w:r>
      <w:r>
        <w:rPr>
          <w:rFonts w:hint="eastAsia"/>
          <w:sz w:val="24"/>
          <w:szCs w:val="24"/>
        </w:rPr>
        <w:t>6.3 具有自动识别三种组织结构：血液、粘膜组织、间质组织，并输出对应的波形和阻抗。工作使用连续波有效地防止组织粘连和渗透达到最快、有效、精准、安全的治疗。</w:t>
      </w:r>
    </w:p>
    <w:p w14:paraId="6714E819">
      <w:pPr>
        <w:spacing w:line="360" w:lineRule="auto"/>
        <w:ind w:firstLine="240" w:firstLineChars="100"/>
        <w:jc w:val="both"/>
        <w:rPr>
          <w:rFonts w:hint="eastAsia"/>
          <w:sz w:val="24"/>
          <w:szCs w:val="24"/>
        </w:rPr>
      </w:pPr>
      <w:r>
        <w:rPr>
          <w:rFonts w:hint="eastAsia"/>
          <w:sz w:val="24"/>
          <w:szCs w:val="24"/>
          <w:lang w:val="en-US" w:eastAsia="zh-CN"/>
        </w:rPr>
        <w:t>1.</w:t>
      </w:r>
      <w:r>
        <w:rPr>
          <w:rFonts w:hint="eastAsia"/>
          <w:sz w:val="24"/>
          <w:szCs w:val="24"/>
        </w:rPr>
        <w:t>6.4 具有各种手术刀头识别和保护功能、减少负损伤。</w:t>
      </w:r>
    </w:p>
    <w:p w14:paraId="0C8FD9B4">
      <w:pPr>
        <w:spacing w:line="360" w:lineRule="auto"/>
        <w:jc w:val="both"/>
        <w:rPr>
          <w:rFonts w:hint="eastAsia"/>
          <w:sz w:val="24"/>
          <w:szCs w:val="24"/>
        </w:rPr>
      </w:pPr>
      <w:r>
        <w:rPr>
          <w:rFonts w:hint="eastAsia"/>
          <w:sz w:val="24"/>
          <w:szCs w:val="24"/>
          <w:lang w:val="en-US" w:eastAsia="zh-CN"/>
        </w:rPr>
        <w:t>1.</w:t>
      </w:r>
      <w:r>
        <w:rPr>
          <w:rFonts w:hint="eastAsia"/>
          <w:sz w:val="24"/>
          <w:szCs w:val="24"/>
        </w:rPr>
        <w:t>7.具有自动检测刀头和附件连接功能。</w:t>
      </w:r>
    </w:p>
    <w:p w14:paraId="4FD28ABE">
      <w:pPr>
        <w:spacing w:line="360" w:lineRule="auto"/>
        <w:jc w:val="both"/>
        <w:rPr>
          <w:rFonts w:hint="eastAsia"/>
          <w:sz w:val="24"/>
          <w:szCs w:val="24"/>
        </w:rPr>
      </w:pPr>
      <w:r>
        <w:rPr>
          <w:rFonts w:hint="eastAsia"/>
          <w:sz w:val="24"/>
          <w:szCs w:val="24"/>
          <w:lang w:val="en-US" w:eastAsia="zh-CN"/>
        </w:rPr>
        <w:t>1.</w:t>
      </w:r>
      <w:r>
        <w:rPr>
          <w:rFonts w:hint="eastAsia"/>
          <w:sz w:val="24"/>
          <w:szCs w:val="24"/>
        </w:rPr>
        <w:t>8.具有刀头故障自动检测显示和主机保护报警声音提示。</w:t>
      </w:r>
    </w:p>
    <w:p w14:paraId="616E8260">
      <w:pPr>
        <w:spacing w:line="360" w:lineRule="auto"/>
        <w:jc w:val="both"/>
        <w:rPr>
          <w:rFonts w:hint="eastAsia"/>
          <w:sz w:val="24"/>
          <w:szCs w:val="24"/>
          <w:lang w:val="en-US" w:eastAsia="zh-CN"/>
        </w:rPr>
      </w:pPr>
      <w:r>
        <w:rPr>
          <w:rFonts w:hint="eastAsia"/>
          <w:sz w:val="24"/>
          <w:szCs w:val="24"/>
          <w:lang w:val="en-US" w:eastAsia="zh-CN"/>
        </w:rPr>
        <w:t>1.9.配备1付配套</w:t>
      </w:r>
      <w:r>
        <w:rPr>
          <w:rFonts w:hint="eastAsia"/>
          <w:sz w:val="24"/>
          <w:szCs w:val="24"/>
        </w:rPr>
        <w:t>双功能脚踏控制板</w:t>
      </w:r>
      <w:r>
        <w:rPr>
          <w:rFonts w:hint="eastAsia"/>
          <w:sz w:val="24"/>
          <w:szCs w:val="24"/>
          <w:lang w:val="en-US" w:eastAsia="zh-CN"/>
        </w:rPr>
        <w:t>。</w:t>
      </w:r>
    </w:p>
    <w:p w14:paraId="1061BECD">
      <w:pPr>
        <w:spacing w:line="360" w:lineRule="auto"/>
        <w:jc w:val="both"/>
        <w:rPr>
          <w:rFonts w:hint="eastAsia"/>
          <w:b/>
          <w:bCs/>
          <w:sz w:val="24"/>
          <w:szCs w:val="24"/>
        </w:rPr>
      </w:pPr>
      <w:r>
        <w:rPr>
          <w:rFonts w:hint="eastAsia"/>
          <w:b/>
          <w:bCs/>
          <w:sz w:val="24"/>
          <w:szCs w:val="24"/>
          <w:lang w:eastAsia="zh-CN"/>
        </w:rPr>
        <w:t>（</w:t>
      </w:r>
      <w:r>
        <w:rPr>
          <w:rFonts w:hint="eastAsia"/>
          <w:b/>
          <w:bCs/>
          <w:sz w:val="24"/>
          <w:szCs w:val="24"/>
          <w:lang w:val="en-US" w:eastAsia="zh-CN"/>
        </w:rPr>
        <w:t>二</w:t>
      </w:r>
      <w:r>
        <w:rPr>
          <w:rFonts w:hint="eastAsia"/>
          <w:b/>
          <w:bCs/>
          <w:sz w:val="24"/>
          <w:szCs w:val="24"/>
          <w:lang w:eastAsia="zh-CN"/>
        </w:rPr>
        <w:t>）</w:t>
      </w:r>
      <w:r>
        <w:rPr>
          <w:rFonts w:hint="eastAsia"/>
          <w:b/>
          <w:bCs/>
          <w:sz w:val="24"/>
          <w:szCs w:val="24"/>
        </w:rPr>
        <w:t>刀头参数</w:t>
      </w:r>
    </w:p>
    <w:p w14:paraId="71022B5D">
      <w:pPr>
        <w:spacing w:line="360" w:lineRule="auto"/>
        <w:jc w:val="both"/>
        <w:rPr>
          <w:rFonts w:hint="eastAsia"/>
          <w:b/>
          <w:bCs/>
          <w:sz w:val="24"/>
          <w:szCs w:val="24"/>
        </w:rPr>
      </w:pPr>
      <w:r>
        <w:rPr>
          <w:rFonts w:hint="eastAsia"/>
          <w:b/>
          <w:bCs/>
          <w:sz w:val="24"/>
          <w:szCs w:val="24"/>
        </w:rPr>
        <w:t>★</w:t>
      </w:r>
      <w:r>
        <w:rPr>
          <w:rFonts w:hint="eastAsia"/>
          <w:b/>
          <w:bCs/>
          <w:sz w:val="24"/>
          <w:szCs w:val="24"/>
          <w:lang w:val="en-US" w:eastAsia="zh-CN"/>
        </w:rPr>
        <w:t>2.1</w:t>
      </w:r>
      <w:r>
        <w:rPr>
          <w:rFonts w:hint="eastAsia"/>
          <w:b/>
          <w:bCs/>
          <w:sz w:val="24"/>
          <w:szCs w:val="24"/>
        </w:rPr>
        <w:t>.颈椎消融刀头，长度≤165mm，直径≤1.2mm</w:t>
      </w:r>
      <w:r>
        <w:rPr>
          <w:rFonts w:hint="eastAsia"/>
          <w:b/>
          <w:bCs/>
          <w:sz w:val="24"/>
          <w:szCs w:val="24"/>
          <w:lang w:val="en-US" w:eastAsia="zh-CN"/>
        </w:rPr>
        <w:t xml:space="preserve"> </w:t>
      </w:r>
      <w:r>
        <w:rPr>
          <w:rFonts w:hint="eastAsia"/>
          <w:b/>
          <w:bCs/>
          <w:sz w:val="24"/>
          <w:szCs w:val="24"/>
        </w:rPr>
        <w:t>；</w:t>
      </w:r>
    </w:p>
    <w:p w14:paraId="2276BE62">
      <w:pPr>
        <w:spacing w:line="360" w:lineRule="auto"/>
        <w:jc w:val="both"/>
        <w:rPr>
          <w:rFonts w:hint="eastAsia"/>
          <w:b/>
          <w:bCs/>
          <w:sz w:val="24"/>
          <w:szCs w:val="24"/>
        </w:rPr>
      </w:pPr>
      <w:r>
        <w:rPr>
          <w:rFonts w:hint="eastAsia"/>
          <w:b/>
          <w:bCs/>
          <w:sz w:val="24"/>
          <w:szCs w:val="24"/>
        </w:rPr>
        <w:t>★</w:t>
      </w:r>
      <w:r>
        <w:rPr>
          <w:rFonts w:hint="eastAsia"/>
          <w:b/>
          <w:bCs/>
          <w:sz w:val="24"/>
          <w:szCs w:val="24"/>
          <w:lang w:val="en-US" w:eastAsia="zh-CN"/>
        </w:rPr>
        <w:t>2.2.</w:t>
      </w:r>
      <w:r>
        <w:rPr>
          <w:rFonts w:hint="eastAsia"/>
          <w:b/>
          <w:bCs/>
          <w:sz w:val="24"/>
          <w:szCs w:val="24"/>
        </w:rPr>
        <w:t>腰椎消融刀头，长度为≤ 230mm，直径为≤1.4mm</w:t>
      </w:r>
      <w:r>
        <w:rPr>
          <w:rFonts w:hint="eastAsia"/>
          <w:b/>
          <w:bCs/>
          <w:sz w:val="24"/>
          <w:szCs w:val="24"/>
          <w:lang w:val="en-US" w:eastAsia="zh-CN"/>
        </w:rPr>
        <w:t xml:space="preserve"> </w:t>
      </w:r>
      <w:r>
        <w:rPr>
          <w:rFonts w:hint="eastAsia"/>
          <w:b/>
          <w:bCs/>
          <w:sz w:val="24"/>
          <w:szCs w:val="24"/>
        </w:rPr>
        <w:t>。</w:t>
      </w:r>
    </w:p>
    <w:p w14:paraId="6733BDD3">
      <w:pPr>
        <w:spacing w:line="360" w:lineRule="auto"/>
        <w:jc w:val="both"/>
        <w:rPr>
          <w:rFonts w:hint="eastAsia"/>
          <w:sz w:val="24"/>
          <w:szCs w:val="24"/>
        </w:rPr>
      </w:pPr>
      <w:r>
        <w:rPr>
          <w:rFonts w:hint="eastAsia"/>
          <w:sz w:val="24"/>
          <w:szCs w:val="24"/>
          <w:lang w:val="en-US" w:eastAsia="zh-CN"/>
        </w:rPr>
        <w:t>2.3.</w:t>
      </w:r>
      <w:r>
        <w:rPr>
          <w:rFonts w:hint="eastAsia"/>
          <w:sz w:val="24"/>
          <w:szCs w:val="24"/>
        </w:rPr>
        <w:t>刀头的手柄全部采用 PBT(高结晶性热可塑性塑料)</w:t>
      </w:r>
    </w:p>
    <w:p w14:paraId="1491450D">
      <w:pPr>
        <w:spacing w:line="360" w:lineRule="auto"/>
        <w:rPr>
          <w:rFonts w:hint="eastAsia" w:ascii="宋体" w:hAnsi="宋体" w:eastAsia="宋体" w:cs="宋体"/>
          <w:b w:val="0"/>
          <w:bCs w:val="0"/>
          <w:kern w:val="2"/>
          <w:sz w:val="24"/>
          <w:szCs w:val="24"/>
          <w:lang w:val="en-US" w:eastAsia="zh-CN" w:bidi="ar-SA"/>
        </w:rPr>
      </w:pPr>
      <w:r>
        <w:rPr>
          <w:rFonts w:hint="eastAsia"/>
          <w:sz w:val="24"/>
          <w:szCs w:val="24"/>
          <w:lang w:val="en-US" w:eastAsia="zh-CN"/>
        </w:rPr>
        <w:t>2.4.配备</w:t>
      </w:r>
      <w:r>
        <w:rPr>
          <w:rFonts w:hint="eastAsia"/>
          <w:sz w:val="24"/>
          <w:szCs w:val="24"/>
        </w:rPr>
        <w:t>颈椎消融刀头≥</w:t>
      </w:r>
      <w:r>
        <w:rPr>
          <w:rFonts w:hint="eastAsia"/>
          <w:sz w:val="24"/>
          <w:szCs w:val="24"/>
          <w:lang w:val="en-US" w:eastAsia="zh-CN"/>
        </w:rPr>
        <w:t>5把，</w:t>
      </w:r>
      <w:r>
        <w:rPr>
          <w:rFonts w:hint="eastAsia"/>
          <w:sz w:val="24"/>
          <w:szCs w:val="24"/>
        </w:rPr>
        <w:t>腰椎消融刀头≥</w:t>
      </w:r>
      <w:r>
        <w:rPr>
          <w:rFonts w:hint="eastAsia"/>
          <w:sz w:val="24"/>
          <w:szCs w:val="24"/>
          <w:lang w:val="en-US" w:eastAsia="zh-CN"/>
        </w:rPr>
        <w:t>5把</w:t>
      </w:r>
    </w:p>
    <w:p w14:paraId="439BC7B0">
      <w:pPr>
        <w:rPr>
          <w:rFonts w:hint="eastAsia"/>
          <w:b/>
          <w:bCs/>
          <w:color w:val="FF0000"/>
          <w:sz w:val="30"/>
          <w:szCs w:val="30"/>
          <w:lang w:val="en-US" w:eastAsia="zh-CN"/>
        </w:rPr>
      </w:pPr>
      <w:r>
        <w:rPr>
          <w:rFonts w:hint="eastAsia"/>
          <w:b/>
          <w:bCs/>
          <w:color w:val="FF0000"/>
          <w:sz w:val="30"/>
          <w:szCs w:val="30"/>
          <w:lang w:val="en-US" w:eastAsia="zh-CN"/>
        </w:rPr>
        <w:t>注：</w:t>
      </w:r>
    </w:p>
    <w:p w14:paraId="19B37922">
      <w:pPr>
        <w:numPr>
          <w:ilvl w:val="0"/>
          <w:numId w:val="1"/>
        </w:numPr>
        <w:rPr>
          <w:rFonts w:hint="eastAsia"/>
          <w:b/>
          <w:bCs/>
          <w:color w:val="FF0000"/>
          <w:sz w:val="30"/>
          <w:szCs w:val="30"/>
          <w:lang w:eastAsia="zh-CN"/>
        </w:rPr>
      </w:pPr>
      <w:r>
        <w:rPr>
          <w:rFonts w:hint="eastAsia"/>
          <w:b/>
          <w:bCs/>
          <w:color w:val="FF0000"/>
          <w:sz w:val="30"/>
          <w:szCs w:val="30"/>
          <w:lang w:eastAsia="zh-CN"/>
        </w:rPr>
        <w:t>比选文件中用“★”标注的技术参数为不允许负偏离的实质性要求和条件（如果比选文件中有标注“★”的技术参数）。供应商对用“★”标注的技术参数的响应情况须在响应文件中提供相应的证明材料予以证明。否则，评审小组视为对比选文件中用“★”标注的技术参数出现负偏离。</w:t>
      </w:r>
    </w:p>
    <w:p w14:paraId="1F2A40B2">
      <w:pPr>
        <w:pStyle w:val="2"/>
        <w:rPr>
          <w:rFonts w:hint="eastAsia" w:ascii="Times New Roman" w:hAnsi="Times New Roman" w:eastAsia="宋体" w:cs="Times New Roman"/>
          <w:b/>
          <w:bCs/>
          <w:color w:val="FF0000"/>
          <w:kern w:val="2"/>
          <w:sz w:val="30"/>
          <w:szCs w:val="30"/>
          <w:lang w:val="en-US" w:eastAsia="zh-CN" w:bidi="ar-SA"/>
        </w:rPr>
      </w:pPr>
      <w:r>
        <w:rPr>
          <w:rFonts w:hint="eastAsia" w:ascii="Times New Roman" w:hAnsi="Times New Roman" w:eastAsia="宋体" w:cs="Times New Roman"/>
          <w:b/>
          <w:bCs/>
          <w:color w:val="FF0000"/>
          <w:kern w:val="2"/>
          <w:sz w:val="30"/>
          <w:szCs w:val="30"/>
          <w:lang w:val="en-US" w:eastAsia="zh-CN" w:bidi="ar-SA"/>
        </w:rPr>
        <w:t>2、供应商的响应文件中其他用“★”标注的技术参数提供的相关技术证明文件是指：医疗器械注册证、第三方检测报告、产品说明书、产品彩页，提供其中之一即可。</w:t>
      </w:r>
    </w:p>
    <w:p w14:paraId="7235AD76">
      <w:pPr>
        <w:spacing w:line="360" w:lineRule="auto"/>
        <w:ind w:firstLine="3200" w:firstLineChars="1000"/>
        <w:rPr>
          <w:rFonts w:hint="eastAsia"/>
          <w:b/>
          <w:sz w:val="28"/>
          <w:szCs w:val="28"/>
        </w:rPr>
      </w:pPr>
      <w:r>
        <w:rPr>
          <w:rFonts w:hint="eastAsia"/>
          <w:sz w:val="32"/>
          <w:szCs w:val="32"/>
          <w:lang w:val="en-US" w:eastAsia="zh-CN"/>
        </w:rPr>
        <w:t>二、</w:t>
      </w:r>
      <w:r>
        <w:rPr>
          <w:rFonts w:hint="eastAsia"/>
          <w:b/>
          <w:sz w:val="28"/>
          <w:szCs w:val="28"/>
        </w:rPr>
        <w:t>商务要求</w:t>
      </w:r>
    </w:p>
    <w:p w14:paraId="3359CD21">
      <w:pPr>
        <w:ind w:firstLine="240" w:firstLineChars="100"/>
        <w:jc w:val="center"/>
        <w:rPr>
          <w:rFonts w:hint="eastAsia"/>
          <w:sz w:val="24"/>
          <w:szCs w:val="24"/>
        </w:rPr>
      </w:pPr>
      <w:r>
        <w:rPr>
          <w:rFonts w:hint="eastAsia"/>
          <w:sz w:val="24"/>
          <w:szCs w:val="24"/>
        </w:rPr>
        <w:t>（本项目商务要求为不允许负偏离的实质性要求和条件）</w:t>
      </w:r>
    </w:p>
    <w:p w14:paraId="4E893A76">
      <w:pPr>
        <w:spacing w:line="360" w:lineRule="auto"/>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3.1、所有货物（包括零部件）须为全新的、未使用过的原装正品。提交货物（含相关服务）的技术参数和配置应与比选文件的要求及其响应文件的技术要求（如果被评审小组接受的话）相一致。若比选文件及响应文件中无相应说明，则以国家有关部门最新颁布的相应标准及规范为准。</w:t>
      </w:r>
    </w:p>
    <w:p w14:paraId="230A1402">
      <w:pPr>
        <w:spacing w:line="360" w:lineRule="auto"/>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3.2、所有货物必须符合《医疗器械标准管理办法》等国家相关强制性要求。</w:t>
      </w:r>
    </w:p>
    <w:p w14:paraId="57515779">
      <w:pPr>
        <w:spacing w:line="360" w:lineRule="auto"/>
        <w:rPr>
          <w:rFonts w:hint="eastAsia" w:ascii="宋体" w:hAnsi="宋体" w:eastAsia="宋体" w:cs="宋体"/>
          <w:b w:val="0"/>
          <w:bCs w:val="0"/>
          <w:kern w:val="2"/>
          <w:sz w:val="24"/>
          <w:szCs w:val="24"/>
          <w:highlight w:val="yellow"/>
          <w:lang w:val="en-US" w:eastAsia="zh-CN" w:bidi="ar-SA"/>
        </w:rPr>
      </w:pPr>
      <w:r>
        <w:rPr>
          <w:rFonts w:hint="eastAsia" w:ascii="宋体" w:hAnsi="宋体" w:eastAsia="宋体" w:cs="宋体"/>
          <w:b w:val="0"/>
          <w:bCs w:val="0"/>
          <w:kern w:val="2"/>
          <w:sz w:val="24"/>
          <w:szCs w:val="24"/>
          <w:highlight w:val="yellow"/>
          <w:lang w:val="en-US" w:eastAsia="zh-CN" w:bidi="ar-SA"/>
        </w:rPr>
        <w:t>3.2.1本项目的特定资格要求：（供应商须提供相应的证明材料，否则视为资格性审查不通过）</w:t>
      </w:r>
    </w:p>
    <w:p w14:paraId="09C4C01C">
      <w:pPr>
        <w:spacing w:line="360" w:lineRule="auto"/>
        <w:rPr>
          <w:rFonts w:hint="eastAsia" w:ascii="宋体" w:hAnsi="宋体" w:eastAsia="宋体" w:cs="宋体"/>
          <w:b w:val="0"/>
          <w:bCs w:val="0"/>
          <w:kern w:val="2"/>
          <w:sz w:val="24"/>
          <w:szCs w:val="24"/>
          <w:highlight w:val="yellow"/>
          <w:lang w:val="en-US" w:eastAsia="zh-CN" w:bidi="ar-SA"/>
        </w:rPr>
      </w:pPr>
      <w:r>
        <w:rPr>
          <w:rFonts w:hint="eastAsia" w:ascii="宋体" w:hAnsi="宋体" w:eastAsia="宋体" w:cs="宋体"/>
          <w:b w:val="0"/>
          <w:bCs w:val="0"/>
          <w:kern w:val="2"/>
          <w:sz w:val="24"/>
          <w:szCs w:val="24"/>
          <w:highlight w:val="yellow"/>
          <w:lang w:val="en-US" w:eastAsia="zh-CN" w:bidi="ar-SA"/>
        </w:rPr>
        <w:t>（1）供应商若为生产企业：所报产品为第二、三类医疗器械的，提供涵盖所报医疗器械的《医疗器械生产许可证》。</w:t>
      </w:r>
    </w:p>
    <w:p w14:paraId="22D497F6">
      <w:pPr>
        <w:spacing w:line="360" w:lineRule="auto"/>
        <w:rPr>
          <w:rFonts w:hint="eastAsia" w:ascii="宋体" w:hAnsi="宋体" w:eastAsia="宋体" w:cs="宋体"/>
          <w:b w:val="0"/>
          <w:bCs w:val="0"/>
          <w:kern w:val="2"/>
          <w:sz w:val="24"/>
          <w:szCs w:val="24"/>
          <w:highlight w:val="yellow"/>
          <w:lang w:val="en-US" w:eastAsia="zh-CN" w:bidi="ar-SA"/>
        </w:rPr>
      </w:pPr>
      <w:r>
        <w:rPr>
          <w:rFonts w:hint="eastAsia" w:ascii="宋体" w:hAnsi="宋体" w:eastAsia="宋体" w:cs="宋体"/>
          <w:b w:val="0"/>
          <w:bCs w:val="0"/>
          <w:kern w:val="2"/>
          <w:sz w:val="24"/>
          <w:szCs w:val="24"/>
          <w:highlight w:val="yellow"/>
          <w:lang w:val="en-US" w:eastAsia="zh-CN" w:bidi="ar-SA"/>
        </w:rPr>
        <w:t>（2）供应商若为经营企业：所报产品为第二类医疗器械的，提供涵盖所报医疗器械的《医疗器械经营备案凭证》；所报产品为第三类医疗器械的，提供涵盖所报医疗器械的《医疗器械经营许可证》。</w:t>
      </w:r>
    </w:p>
    <w:p w14:paraId="52D2558F">
      <w:pPr>
        <w:spacing w:line="360" w:lineRule="auto"/>
        <w:rPr>
          <w:rFonts w:hint="eastAsia" w:ascii="宋体" w:hAnsi="宋体" w:eastAsia="宋体" w:cs="宋体"/>
          <w:b w:val="0"/>
          <w:bCs w:val="0"/>
          <w:kern w:val="2"/>
          <w:sz w:val="24"/>
          <w:szCs w:val="24"/>
          <w:highlight w:val="yellow"/>
          <w:lang w:val="en-US" w:eastAsia="zh-CN" w:bidi="ar-SA"/>
        </w:rPr>
      </w:pPr>
      <w:r>
        <w:rPr>
          <w:rFonts w:hint="eastAsia" w:ascii="宋体" w:hAnsi="宋体" w:eastAsia="宋体" w:cs="宋体"/>
          <w:b w:val="0"/>
          <w:bCs w:val="0"/>
          <w:kern w:val="2"/>
          <w:sz w:val="24"/>
          <w:szCs w:val="24"/>
          <w:highlight w:val="yellow"/>
          <w:lang w:val="en-US" w:eastAsia="zh-CN" w:bidi="ar-SA"/>
        </w:rPr>
        <w:t>3.2.2供应商所报</w:t>
      </w:r>
      <w:r>
        <w:rPr>
          <w:rFonts w:hint="eastAsia" w:ascii="宋体" w:hAnsi="宋体" w:eastAsia="宋体" w:cs="宋体"/>
          <w:b/>
          <w:bCs/>
          <w:kern w:val="2"/>
          <w:sz w:val="24"/>
          <w:szCs w:val="24"/>
          <w:highlight w:val="yellow"/>
          <w:lang w:val="en-US" w:eastAsia="zh-CN" w:bidi="ar-SA"/>
        </w:rPr>
        <w:t>低温等离子体多功能手术系统（或等离子射频手术系统或等离子手术设备）</w:t>
      </w:r>
      <w:r>
        <w:rPr>
          <w:rFonts w:hint="eastAsia" w:ascii="宋体" w:hAnsi="宋体" w:eastAsia="宋体" w:cs="宋体"/>
          <w:b w:val="0"/>
          <w:bCs w:val="0"/>
          <w:kern w:val="2"/>
          <w:sz w:val="24"/>
          <w:szCs w:val="24"/>
          <w:highlight w:val="yellow"/>
          <w:lang w:val="en-US" w:eastAsia="zh-CN" w:bidi="ar-SA"/>
        </w:rPr>
        <w:t>的医疗器械注册证复印件（在有效期内）或【第一类医疗器械备案凭证扫描件和第一类医疗器械备案信息证明材料扫描件】。</w:t>
      </w:r>
    </w:p>
    <w:p w14:paraId="39CF6D6A">
      <w:pPr>
        <w:spacing w:line="360" w:lineRule="auto"/>
        <w:rPr>
          <w:rFonts w:hint="eastAsia" w:ascii="宋体" w:hAnsi="宋体" w:eastAsia="宋体" w:cs="宋体"/>
          <w:b w:val="0"/>
          <w:bCs w:val="0"/>
          <w:kern w:val="2"/>
          <w:sz w:val="24"/>
          <w:szCs w:val="24"/>
          <w:highlight w:val="yellow"/>
          <w:lang w:val="en-US" w:eastAsia="zh-CN" w:bidi="ar-SA"/>
        </w:rPr>
      </w:pPr>
      <w:r>
        <w:rPr>
          <w:rFonts w:hint="eastAsia" w:ascii="宋体" w:hAnsi="宋体" w:eastAsia="宋体" w:cs="宋体"/>
          <w:b w:val="0"/>
          <w:bCs w:val="0"/>
          <w:kern w:val="2"/>
          <w:sz w:val="24"/>
          <w:szCs w:val="24"/>
          <w:highlight w:val="yellow"/>
          <w:lang w:val="en-US" w:eastAsia="zh-CN" w:bidi="ar-SA"/>
        </w:rPr>
        <w:t>3.2.3合同签订之后，供货前，成交供应商须向采购人提供所报</w:t>
      </w:r>
      <w:r>
        <w:rPr>
          <w:rFonts w:hint="eastAsia" w:ascii="宋体" w:hAnsi="宋体" w:eastAsia="宋体" w:cs="宋体"/>
          <w:b/>
          <w:bCs/>
          <w:kern w:val="2"/>
          <w:sz w:val="24"/>
          <w:szCs w:val="24"/>
          <w:highlight w:val="yellow"/>
          <w:lang w:val="en-US" w:eastAsia="zh-CN" w:bidi="ar-SA"/>
        </w:rPr>
        <w:t>等离子刀头</w:t>
      </w:r>
      <w:r>
        <w:rPr>
          <w:rFonts w:hint="eastAsia" w:ascii="宋体" w:hAnsi="宋体" w:eastAsia="宋体" w:cs="宋体"/>
          <w:b w:val="0"/>
          <w:bCs w:val="0"/>
          <w:kern w:val="2"/>
          <w:sz w:val="24"/>
          <w:szCs w:val="24"/>
          <w:highlight w:val="yellow"/>
          <w:lang w:val="en-US" w:eastAsia="zh-CN" w:bidi="ar-SA"/>
        </w:rPr>
        <w:t>的医疗器械注册证扫描件（在有效期内）</w:t>
      </w:r>
    </w:p>
    <w:p w14:paraId="03EE6B29">
      <w:pPr>
        <w:spacing w:line="360" w:lineRule="auto"/>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3.3、技术支持</w:t>
      </w:r>
    </w:p>
    <w:p w14:paraId="14E13FA8">
      <w:pPr>
        <w:spacing w:line="360" w:lineRule="auto"/>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3.3.1成交供应商应向采购人提供全方位及时而有效的技术支持和服务。</w:t>
      </w:r>
    </w:p>
    <w:p w14:paraId="1F4FAAF9">
      <w:pPr>
        <w:spacing w:line="360" w:lineRule="auto"/>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3.3.2成交供应商负责供货、运输并安装调试完毕。</w:t>
      </w:r>
    </w:p>
    <w:p w14:paraId="0B524201">
      <w:pPr>
        <w:spacing w:line="360" w:lineRule="auto"/>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3.4、管理软件终身免费升级。</w:t>
      </w:r>
    </w:p>
    <w:p w14:paraId="2AB90C8A">
      <w:pPr>
        <w:spacing w:line="360" w:lineRule="auto"/>
        <w:rPr>
          <w:rFonts w:hint="eastAsia" w:ascii="宋体" w:hAnsi="宋体" w:eastAsia="宋体" w:cs="宋体"/>
          <w:b/>
          <w:bCs/>
          <w:kern w:val="2"/>
          <w:sz w:val="24"/>
          <w:szCs w:val="24"/>
          <w:lang w:val="en-US" w:eastAsia="zh-CN" w:bidi="ar-SA"/>
        </w:rPr>
      </w:pPr>
      <w:r>
        <w:rPr>
          <w:rFonts w:hint="eastAsia" w:ascii="宋体" w:hAnsi="宋体" w:eastAsia="宋体" w:cs="宋体"/>
          <w:b/>
          <w:bCs/>
          <w:kern w:val="2"/>
          <w:sz w:val="24"/>
          <w:szCs w:val="24"/>
          <w:lang w:val="en-US" w:eastAsia="zh-CN" w:bidi="ar-SA"/>
        </w:rPr>
        <w:t>3.5、成交供应商低温等离子体多功能手术系统须提供整机≥3年的原厂质保服务。</w:t>
      </w:r>
    </w:p>
    <w:p w14:paraId="2F41192C">
      <w:pPr>
        <w:spacing w:line="360" w:lineRule="auto"/>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3.6、售后服务响应时间：如货物出现质量问题，成交供应商须2小时内响应,电话响应无法解决，成交供应商必须在接报修电话24小时内到达现场,48小时内解决问题。如不能解决的，成交供应商需免费提供备品备件供采购人使用。质保期内如货物出现质量问题，成交供应商负责免费修复，对于无法修复的情况，成交供应商负责免费更换。</w:t>
      </w:r>
    </w:p>
    <w:p w14:paraId="0670A57F">
      <w:pPr>
        <w:spacing w:line="360" w:lineRule="auto"/>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3.7、现场培训能够根据采购人需要，合理安排，使采购人能够全面掌握设备的工作原理，熟练独立操作。培训费用包含在总投标价中。</w:t>
      </w:r>
    </w:p>
    <w:p w14:paraId="1D9D1A99">
      <w:pPr>
        <w:spacing w:line="360" w:lineRule="auto"/>
        <w:rPr>
          <w:rFonts w:hint="eastAsia" w:ascii="宋体" w:hAnsi="宋体" w:eastAsia="宋体" w:cs="宋体"/>
          <w:b/>
          <w:bCs/>
          <w:kern w:val="2"/>
          <w:sz w:val="24"/>
          <w:szCs w:val="24"/>
          <w:lang w:val="en-US" w:eastAsia="zh-CN" w:bidi="ar-SA"/>
        </w:rPr>
      </w:pPr>
      <w:r>
        <w:rPr>
          <w:rFonts w:hint="eastAsia" w:ascii="宋体" w:hAnsi="宋体" w:eastAsia="宋体" w:cs="宋体"/>
          <w:b/>
          <w:bCs/>
          <w:kern w:val="2"/>
          <w:sz w:val="24"/>
          <w:szCs w:val="24"/>
          <w:lang w:val="en-US" w:eastAsia="zh-CN" w:bidi="ar-SA"/>
        </w:rPr>
        <w:t>3.8、供货期：自合同签订之日起15日内供货并安装调试完毕。</w:t>
      </w:r>
    </w:p>
    <w:p w14:paraId="737FC690">
      <w:pPr>
        <w:spacing w:line="360" w:lineRule="auto"/>
        <w:rPr>
          <w:rFonts w:hint="eastAsia" w:ascii="宋体" w:hAnsi="宋体" w:eastAsia="宋体" w:cs="宋体"/>
          <w:b/>
          <w:bCs/>
          <w:kern w:val="2"/>
          <w:sz w:val="24"/>
          <w:szCs w:val="24"/>
          <w:lang w:val="en-US" w:eastAsia="zh-CN" w:bidi="ar-SA"/>
        </w:rPr>
      </w:pPr>
      <w:r>
        <w:rPr>
          <w:rFonts w:hint="eastAsia" w:ascii="宋体" w:hAnsi="宋体" w:eastAsia="宋体" w:cs="宋体"/>
          <w:b/>
          <w:bCs/>
          <w:kern w:val="2"/>
          <w:sz w:val="24"/>
          <w:szCs w:val="24"/>
          <w:lang w:val="en-US" w:eastAsia="zh-CN" w:bidi="ar-SA"/>
        </w:rPr>
        <w:t>3.9、支付方式：项目供货并安装调试完毕自采购人验收合格后，采购人向成交供应商支付至合同金额的 100%。</w:t>
      </w:r>
    </w:p>
    <w:p w14:paraId="45EA0415">
      <w:pPr>
        <w:spacing w:line="360" w:lineRule="auto"/>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3.10、供货与安装地点：马鞍山市人民医院。</w:t>
      </w:r>
    </w:p>
    <w:p w14:paraId="48C4AFDE">
      <w:pPr>
        <w:spacing w:line="360" w:lineRule="auto"/>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3.11、验  收：</w:t>
      </w:r>
    </w:p>
    <w:p w14:paraId="2818E504">
      <w:pPr>
        <w:spacing w:line="360" w:lineRule="auto"/>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3.11.1采购人和相关部门按照比选文件和响应文件承诺进行验收。比选文件没有规定和响应文件没有相应承诺的，按照下列原则进行验收：有国家标准的按照国家标准验收，没有国家标准的按行业标准验收，无行业标准的按地方或企业标准验收，成交供应商予以配合。涉及需要由质检或行业主管部门验收的项目，采购人须约请相关部门和专家参加项目验收。所有需要质检部门进行检测才能使用的设备，投标报价中必须包含首次检测费用。</w:t>
      </w:r>
    </w:p>
    <w:p w14:paraId="0EBE112E">
      <w:pPr>
        <w:spacing w:line="360" w:lineRule="auto"/>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3.11.2货物在验收时，供应商应提供发票、制造厂家出具的产品合格证书、装箱清单等；提供有关货物的保养修理所需的各种随机工具及全部有关技术文件（外文应提供中文翻译资料，下同）、操作使用说明书、质保书、保修证明、维护手册及技术性指导资料以及根据中国相关法律规定制造、销售报价货物（包括主要部件和材料）所必备的各种证书 (如产品质量检验报告、国家相关检测机构出具的检验报告等）等文件汇集成册交付采购人和应由成交供应商提供的必要文件。</w:t>
      </w:r>
    </w:p>
    <w:p w14:paraId="2C426935">
      <w:pPr>
        <w:spacing w:line="360" w:lineRule="auto"/>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3.11.3成交供应商应根据采购人使用单位的技术要求提供相应的软硬件产品。由成交供应商所提供的设备部件间的连线和插接件均应视为设备内部器件，包含在相应的设备之中。</w:t>
      </w:r>
    </w:p>
    <w:p w14:paraId="7435D974">
      <w:pPr>
        <w:spacing w:line="360" w:lineRule="auto"/>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3.11.4所有货物安装时若需使用特殊的接头、插座、线缆、线槽、电管、线卡、桥架、线盒、软管、特殊安装工具等备件由成交供应商提供，费用包含在总报价中。</w:t>
      </w:r>
    </w:p>
    <w:p w14:paraId="5507BA33">
      <w:pPr>
        <w:spacing w:line="360" w:lineRule="auto"/>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3.11.5对货物进行全面的验收，对验收中暴露出来的问题，成交供应商应及时进行整改，最终验收合格后，采购人向成交供应商签发最终验收证明，若出现2次质量问题将取消供应商此次中标。</w:t>
      </w:r>
    </w:p>
    <w:p w14:paraId="347A59AD">
      <w:pPr>
        <w:spacing w:line="360" w:lineRule="auto"/>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3.11.6成交供应商应向采购人提供安装调试过程中的各种文档资料,以便采购人今后能掌握操作和维护方法。</w:t>
      </w:r>
    </w:p>
    <w:p w14:paraId="7D5B5913">
      <w:pPr>
        <w:spacing w:line="360" w:lineRule="auto"/>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3.12、总报价包括了履行合同所有内容的全部费用。总报价包含了交付使用前的全部费用，包括货物购置费（包括主要设备、辅助设备、备品备件、辅材、零配件、易损件及专用工具费等）、安装调试费、人工费、交通费、食宿费、管理费、运输费、保险费、免费质保期内的维护维修费、培训费、验收费、其他费用（如包装费、仓储费、保管费、资料费、软件升级费以及完成本项目所需要的其他费用）及所有价内价外税金及合理利润等。</w:t>
      </w:r>
    </w:p>
    <w:p w14:paraId="21926F9A">
      <w:pPr>
        <w:pStyle w:val="3"/>
        <w:bidi w:val="0"/>
        <w:jc w:val="both"/>
        <w:rPr>
          <w:rFonts w:hint="eastAsia"/>
          <w:sz w:val="32"/>
          <w:szCs w:val="32"/>
        </w:rPr>
      </w:pPr>
    </w:p>
    <w:p w14:paraId="05AF9DE2">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4D"/>
    <w:family w:val="auto"/>
    <w:pitch w:val="default"/>
    <w:sig w:usb0="E0002EFF" w:usb1="C000785B" w:usb2="00000009" w:usb3="00000000" w:csb0="400001FF" w:csb1="FFFF0000"/>
  </w:font>
  <w:font w:name="宋体">
    <w:panose1 w:val="02010600030101010101"/>
    <w:charset w:val="88"/>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EA79D3B"/>
    <w:multiLevelType w:val="singleLevel"/>
    <w:tmpl w:val="CEA79D3B"/>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5"/>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DBF610B"/>
    <w:rsid w:val="0DBF610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keepNext/>
      <w:keepLines/>
      <w:spacing w:before="340" w:beforeLines="0" w:after="330" w:afterLines="0" w:line="578" w:lineRule="auto"/>
      <w:outlineLvl w:val="0"/>
    </w:pPr>
    <w:rPr>
      <w:b/>
      <w:bCs/>
      <w:kern w:val="44"/>
      <w:sz w:val="44"/>
      <w:szCs w:val="44"/>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Body Text"/>
    <w:basedOn w:val="1"/>
    <w:next w:val="1"/>
    <w:uiPriority w:val="0"/>
    <w:pPr>
      <w:jc w:val="left"/>
    </w:pPr>
    <w:rPr>
      <w:rFonts w:ascii="Arial" w:hAnsi="Arial" w:eastAsia="黑体"/>
      <w:b/>
      <w:kern w:val="0"/>
      <w:sz w:val="32"/>
      <w:szCs w:val="2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0</Words>
  <Characters>0</Characters>
  <Lines>0</Lines>
  <Paragraphs>0</Paragraphs>
  <TotalTime>0</TotalTime>
  <ScaleCrop>false</ScaleCrop>
  <LinksUpToDate>false</LinksUpToDate>
  <CharactersWithSpaces>0</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2024-11-28T03:22:00Z</dcterms:created>
  <dc:creator>高杨</dc:creator>
  <cp:lastModifiedBy>高杨</cp:lastModifiedBy>
  <dcterms:modified xsi:type="dcterms:W3CDTF">2024-11-28T03:22:40Z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6B7C19C51B41466E9CFCB786D5650D00_11</vt:lpwstr>
  </property>
</Properties>
</file>