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69904C">
      <w:pPr>
        <w:numPr>
          <w:ilvl w:val="0"/>
          <w:numId w:val="0"/>
        </w:numPr>
        <w:ind w:leftChars="200"/>
        <w:jc w:val="center"/>
        <w:rPr>
          <w:rFonts w:hint="eastAsia" w:ascii="Times New Roman" w:hAnsi="Times New Roman" w:eastAsia="宋体" w:cs="Times New Roman"/>
          <w:b/>
          <w:bCs/>
          <w:kern w:val="44"/>
          <w:sz w:val="28"/>
          <w:szCs w:val="28"/>
          <w:lang w:val="en-US" w:eastAsia="zh-CN" w:bidi="ar-SA"/>
        </w:rPr>
      </w:pPr>
      <w:r>
        <w:rPr>
          <w:rFonts w:hint="eastAsia" w:ascii="Times New Roman" w:hAnsi="Times New Roman" w:eastAsia="宋体" w:cs="Times New Roman"/>
          <w:b/>
          <w:bCs/>
          <w:kern w:val="44"/>
          <w:sz w:val="28"/>
          <w:szCs w:val="28"/>
          <w:lang w:val="en-US" w:eastAsia="zh-CN" w:bidi="ar-SA"/>
        </w:rPr>
        <w:t>一、采购需求</w:t>
      </w:r>
    </w:p>
    <w:p w14:paraId="07EAC0F1">
      <w:pPr>
        <w:rPr>
          <w:rFonts w:ascii="宋体" w:hAnsi="宋体"/>
          <w:b/>
          <w:bCs/>
          <w:sz w:val="24"/>
        </w:rPr>
      </w:pPr>
      <w:r>
        <w:rPr>
          <w:rFonts w:hint="eastAsia" w:ascii="宋体" w:hAnsi="宋体"/>
          <w:b/>
          <w:bCs/>
          <w:sz w:val="24"/>
          <w:lang w:eastAsia="zh-CN"/>
        </w:rPr>
        <w:t>（</w:t>
      </w:r>
      <w:r>
        <w:rPr>
          <w:rFonts w:hint="eastAsia" w:ascii="宋体" w:hAnsi="宋体"/>
          <w:b/>
          <w:bCs/>
          <w:sz w:val="24"/>
          <w:lang w:val="en-US" w:eastAsia="zh-CN"/>
        </w:rPr>
        <w:t>一</w:t>
      </w:r>
      <w:r>
        <w:rPr>
          <w:rFonts w:hint="eastAsia" w:ascii="宋体" w:hAnsi="宋体"/>
          <w:b/>
          <w:bCs/>
          <w:sz w:val="24"/>
          <w:lang w:eastAsia="zh-CN"/>
        </w:rPr>
        <w:t>）</w:t>
      </w:r>
      <w:r>
        <w:rPr>
          <w:rFonts w:hint="eastAsia" w:ascii="宋体" w:hAnsi="宋体"/>
          <w:b/>
          <w:bCs/>
          <w:sz w:val="24"/>
        </w:rPr>
        <w:t>口腔科现有牙椅19台，需要每台进行整改操作</w:t>
      </w:r>
    </w:p>
    <w:p w14:paraId="22D3E0EA">
      <w:pPr>
        <w:spacing w:before="266" w:line="185" w:lineRule="auto"/>
        <w:rPr>
          <w:rFonts w:hint="eastAsia" w:ascii="宋体" w:hAnsi="宋体" w:eastAsia="宋体"/>
          <w:sz w:val="24"/>
          <w:lang w:val="en-US" w:eastAsia="zh-CN"/>
        </w:rPr>
      </w:pPr>
      <w:r>
        <w:rPr>
          <w:rFonts w:hint="eastAsia" w:ascii="宋体" w:hAnsi="宋体"/>
          <w:b/>
          <w:bCs/>
          <w:sz w:val="24"/>
          <w:lang w:eastAsia="zh-CN"/>
        </w:rPr>
        <w:t>（</w:t>
      </w:r>
      <w:r>
        <w:rPr>
          <w:rFonts w:hint="eastAsia" w:ascii="宋体" w:hAnsi="宋体"/>
          <w:b/>
          <w:bCs/>
          <w:sz w:val="24"/>
          <w:lang w:val="en-US" w:eastAsia="zh-CN"/>
        </w:rPr>
        <w:t>二</w:t>
      </w:r>
      <w:r>
        <w:rPr>
          <w:rFonts w:hint="eastAsia" w:ascii="宋体" w:hAnsi="宋体"/>
          <w:b/>
          <w:bCs/>
          <w:sz w:val="24"/>
          <w:lang w:eastAsia="zh-CN"/>
        </w:rPr>
        <w:t>）</w:t>
      </w:r>
      <w:r>
        <w:rPr>
          <w:rFonts w:hint="eastAsia" w:ascii="宋体" w:hAnsi="宋体"/>
          <w:b/>
          <w:bCs/>
          <w:sz w:val="24"/>
        </w:rPr>
        <w:t>口腔科设备需增加负压机一台，参数如下：</w:t>
      </w:r>
    </w:p>
    <w:p w14:paraId="561C6C58">
      <w:pPr>
        <w:rPr>
          <w:rFonts w:hint="eastAsia" w:ascii="宋体" w:hAnsi="宋体" w:eastAsia="宋体" w:cs="Times New Roman"/>
          <w:sz w:val="24"/>
        </w:rPr>
      </w:pPr>
      <w:r>
        <w:rPr>
          <w:rFonts w:hint="eastAsia" w:ascii="宋体" w:hAnsi="宋体" w:eastAsia="宋体" w:cs="Times New Roman"/>
          <w:sz w:val="24"/>
        </w:rPr>
        <w:t>1</w:t>
      </w:r>
      <w:r>
        <w:rPr>
          <w:rFonts w:hint="eastAsia" w:ascii="宋体" w:hAnsi="宋体" w:eastAsia="宋体" w:cs="Times New Roman"/>
          <w:sz w:val="24"/>
          <w:lang w:eastAsia="zh-CN"/>
        </w:rPr>
        <w:t>、</w:t>
      </w:r>
      <w:r>
        <w:rPr>
          <w:rFonts w:hint="eastAsia" w:ascii="宋体" w:hAnsi="宋体" w:eastAsia="宋体" w:cs="Times New Roman"/>
          <w:sz w:val="24"/>
        </w:rPr>
        <w:t>设备名称：牙科电动抽吸系统</w:t>
      </w:r>
    </w:p>
    <w:p w14:paraId="26BF5328">
      <w:pPr>
        <w:rPr>
          <w:rFonts w:hint="eastAsia" w:ascii="宋体" w:hAnsi="宋体" w:eastAsia="宋体" w:cs="Times New Roman"/>
          <w:sz w:val="24"/>
        </w:rPr>
      </w:pPr>
      <w:r>
        <w:rPr>
          <w:rFonts w:hint="eastAsia" w:ascii="宋体" w:hAnsi="宋体" w:eastAsia="宋体" w:cs="Times New Roman"/>
          <w:sz w:val="24"/>
        </w:rPr>
        <w:t>2</w:t>
      </w:r>
      <w:r>
        <w:rPr>
          <w:rFonts w:hint="eastAsia" w:ascii="宋体" w:hAnsi="宋体" w:eastAsia="宋体" w:cs="Times New Roman"/>
          <w:sz w:val="24"/>
          <w:lang w:eastAsia="zh-CN"/>
        </w:rPr>
        <w:t>、</w:t>
      </w:r>
      <w:r>
        <w:rPr>
          <w:rFonts w:hint="eastAsia" w:ascii="宋体" w:hAnsi="宋体" w:eastAsia="宋体" w:cs="Times New Roman"/>
          <w:sz w:val="24"/>
        </w:rPr>
        <w:t>数量：   1 套</w:t>
      </w:r>
    </w:p>
    <w:p w14:paraId="25ADE545">
      <w:pPr>
        <w:rPr>
          <w:rFonts w:hint="eastAsia" w:ascii="宋体" w:hAnsi="宋体" w:eastAsia="宋体" w:cs="Times New Roman"/>
          <w:sz w:val="24"/>
        </w:rPr>
      </w:pPr>
      <w:r>
        <w:rPr>
          <w:rFonts w:hint="eastAsia" w:ascii="宋体" w:hAnsi="宋体" w:eastAsia="宋体" w:cs="Times New Roman"/>
          <w:sz w:val="24"/>
        </w:rPr>
        <w:t>3</w:t>
      </w:r>
      <w:r>
        <w:rPr>
          <w:rFonts w:hint="eastAsia" w:ascii="宋体" w:hAnsi="宋体" w:eastAsia="宋体" w:cs="Times New Roman"/>
          <w:sz w:val="24"/>
          <w:lang w:eastAsia="zh-CN"/>
        </w:rPr>
        <w:t>、</w:t>
      </w:r>
      <w:r>
        <w:rPr>
          <w:rFonts w:hint="eastAsia" w:ascii="宋体" w:hAnsi="宋体" w:eastAsia="宋体" w:cs="Times New Roman"/>
          <w:sz w:val="24"/>
        </w:rPr>
        <w:t>设备用途：</w:t>
      </w:r>
    </w:p>
    <w:p w14:paraId="56F168C7">
      <w:pPr>
        <w:rPr>
          <w:rFonts w:hint="eastAsia" w:ascii="宋体" w:hAnsi="宋体" w:eastAsia="宋体" w:cs="Times New Roman"/>
          <w:sz w:val="24"/>
        </w:rPr>
      </w:pPr>
      <w:r>
        <w:rPr>
          <w:rFonts w:hint="eastAsia" w:ascii="宋体" w:hAnsi="宋体" w:eastAsia="宋体" w:cs="Times New Roman"/>
          <w:sz w:val="24"/>
        </w:rPr>
        <w:t>提供牙椅负压抽吸牙科口内抽吸的动力源及处理设备，与牙科椅位上的抽吸装置通过管道相连接，对牙科治疗区域内的喷雾、唾液、血液等进行抽吸，提高治疗区域可视度，避免病人的吞咽反射，从而使治疗过程无须中断。</w:t>
      </w:r>
    </w:p>
    <w:p w14:paraId="013966E5">
      <w:pPr>
        <w:rPr>
          <w:rFonts w:hint="eastAsia" w:ascii="宋体" w:hAnsi="宋体" w:eastAsia="宋体" w:cs="Times New Roman"/>
          <w:sz w:val="24"/>
        </w:rPr>
      </w:pPr>
      <w:r>
        <w:rPr>
          <w:rFonts w:hint="eastAsia" w:ascii="宋体" w:hAnsi="宋体" w:eastAsia="宋体" w:cs="Times New Roman"/>
          <w:sz w:val="24"/>
        </w:rPr>
        <w:t>4</w:t>
      </w:r>
      <w:r>
        <w:rPr>
          <w:rFonts w:hint="eastAsia" w:ascii="宋体" w:hAnsi="宋体" w:eastAsia="宋体" w:cs="Times New Roman"/>
          <w:sz w:val="24"/>
          <w:lang w:eastAsia="zh-CN"/>
        </w:rPr>
        <w:t>、</w:t>
      </w:r>
      <w:r>
        <w:rPr>
          <w:rFonts w:hint="eastAsia" w:ascii="宋体" w:hAnsi="宋体" w:eastAsia="宋体" w:cs="Times New Roman"/>
          <w:sz w:val="24"/>
        </w:rPr>
        <w:t>技术规格及要求：</w:t>
      </w:r>
    </w:p>
    <w:p w14:paraId="737602CE">
      <w:pPr>
        <w:rPr>
          <w:rFonts w:hint="eastAsia" w:ascii="宋体" w:hAnsi="宋体" w:eastAsia="宋体" w:cs="Times New Roman"/>
          <w:sz w:val="24"/>
        </w:rPr>
      </w:pPr>
      <w:r>
        <w:rPr>
          <w:rFonts w:hint="eastAsia" w:ascii="宋体" w:hAnsi="宋体" w:eastAsia="宋体" w:cs="Times New Roman"/>
          <w:sz w:val="24"/>
        </w:rPr>
        <w:t>4.1工作条件</w:t>
      </w:r>
    </w:p>
    <w:p w14:paraId="528A5A44">
      <w:pPr>
        <w:rPr>
          <w:rFonts w:hint="eastAsia" w:ascii="宋体" w:hAnsi="宋体" w:eastAsia="宋体" w:cs="Times New Roman"/>
          <w:sz w:val="24"/>
        </w:rPr>
      </w:pPr>
      <w:r>
        <w:rPr>
          <w:rFonts w:hint="eastAsia" w:ascii="宋体" w:hAnsi="宋体" w:eastAsia="宋体" w:cs="Times New Roman"/>
          <w:sz w:val="24"/>
        </w:rPr>
        <w:t>4.1.1环境条件</w:t>
      </w:r>
    </w:p>
    <w:p w14:paraId="2B102FCE">
      <w:pPr>
        <w:rPr>
          <w:rFonts w:hint="eastAsia" w:ascii="宋体" w:hAnsi="宋体" w:eastAsia="宋体" w:cs="Times New Roman"/>
          <w:sz w:val="24"/>
        </w:rPr>
      </w:pPr>
      <w:r>
        <w:rPr>
          <w:rFonts w:hint="eastAsia" w:ascii="宋体" w:hAnsi="宋体" w:eastAsia="宋体" w:cs="Times New Roman"/>
          <w:sz w:val="24"/>
        </w:rPr>
        <w:t>环境温度：5℃～40℃、相对湿度：≤70%、大气压力：86～106kpa  通风流量</w:t>
      </w:r>
    </w:p>
    <w:p w14:paraId="639B84A2">
      <w:pPr>
        <w:rPr>
          <w:rFonts w:hint="eastAsia" w:ascii="宋体" w:hAnsi="宋体" w:eastAsia="宋体" w:cs="Times New Roman"/>
          <w:sz w:val="24"/>
        </w:rPr>
      </w:pPr>
      <w:r>
        <w:rPr>
          <w:rFonts w:hint="eastAsia" w:ascii="宋体" w:hAnsi="宋体" w:eastAsia="宋体" w:cs="Times New Roman"/>
          <w:sz w:val="24"/>
        </w:rPr>
        <w:t>≥0.4m³/s</w:t>
      </w:r>
    </w:p>
    <w:p w14:paraId="72FCF0BF">
      <w:pPr>
        <w:rPr>
          <w:rFonts w:hint="eastAsia" w:ascii="宋体" w:hAnsi="宋体" w:eastAsia="宋体" w:cs="Times New Roman"/>
          <w:sz w:val="24"/>
        </w:rPr>
      </w:pPr>
      <w:r>
        <w:rPr>
          <w:rFonts w:hint="eastAsia" w:ascii="宋体" w:hAnsi="宋体" w:eastAsia="宋体" w:cs="Times New Roman"/>
          <w:sz w:val="24"/>
        </w:rPr>
        <w:t>4.1.2设备参数</w:t>
      </w:r>
    </w:p>
    <w:tbl>
      <w:tblPr>
        <w:tblStyle w:val="4"/>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5"/>
        <w:gridCol w:w="4455"/>
      </w:tblGrid>
      <w:tr w14:paraId="18646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65" w:type="dxa"/>
            <w:noWrap w:val="0"/>
            <w:vAlign w:val="center"/>
          </w:tcPr>
          <w:p w14:paraId="7E9939B6">
            <w:pPr>
              <w:rPr>
                <w:rFonts w:ascii="宋体" w:hAnsi="宋体"/>
                <w:color w:val="000000"/>
              </w:rPr>
            </w:pPr>
            <w:r>
              <w:rPr>
                <w:rFonts w:ascii="Calibri" w:hAnsi="Calibri"/>
                <w:szCs w:val="21"/>
              </w:rPr>
              <w:t>Suction capacity</w:t>
            </w:r>
            <w:r>
              <w:rPr>
                <w:rFonts w:hint="eastAsia" w:ascii="宋体" w:hAnsi="宋体"/>
                <w:color w:val="000000"/>
              </w:rPr>
              <w:t xml:space="preserve">抽吸量： </w:t>
            </w:r>
          </w:p>
        </w:tc>
        <w:tc>
          <w:tcPr>
            <w:tcW w:w="4455" w:type="dxa"/>
            <w:noWrap w:val="0"/>
            <w:vAlign w:val="center"/>
          </w:tcPr>
          <w:p w14:paraId="18872B03">
            <w:pPr>
              <w:autoSpaceDE w:val="0"/>
              <w:autoSpaceDN w:val="0"/>
              <w:jc w:val="center"/>
              <w:rPr>
                <w:rFonts w:ascii="宋体" w:hAnsi="宋体"/>
                <w:color w:val="000000"/>
                <w:szCs w:val="21"/>
              </w:rPr>
            </w:pPr>
            <w:r>
              <w:rPr>
                <w:rFonts w:hint="eastAsia" w:ascii="宋体" w:hAnsi="宋体"/>
                <w:color w:val="000000"/>
                <w:szCs w:val="21"/>
              </w:rPr>
              <w:t xml:space="preserve">3.0m³/min </w:t>
            </w:r>
          </w:p>
        </w:tc>
      </w:tr>
      <w:tr w14:paraId="096F8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65" w:type="dxa"/>
            <w:noWrap w:val="0"/>
            <w:vAlign w:val="center"/>
          </w:tcPr>
          <w:p w14:paraId="25E60616">
            <w:pPr>
              <w:pStyle w:val="3"/>
              <w:widowControl/>
              <w:spacing w:before="0" w:beforeAutospacing="0" w:after="150" w:afterAutospacing="0" w:line="360" w:lineRule="auto"/>
              <w:rPr>
                <w:rFonts w:ascii="Calibri" w:hAnsi="Calibri"/>
                <w:kern w:val="2"/>
                <w:sz w:val="21"/>
                <w:szCs w:val="21"/>
              </w:rPr>
            </w:pPr>
            <w:r>
              <w:rPr>
                <w:rFonts w:ascii="Calibri" w:hAnsi="Calibri"/>
                <w:kern w:val="2"/>
                <w:sz w:val="21"/>
                <w:szCs w:val="21"/>
              </w:rPr>
              <w:t>vacuum degree</w:t>
            </w:r>
            <w:r>
              <w:rPr>
                <w:rFonts w:hint="eastAsia" w:ascii="Calibri" w:hAnsi="Calibri"/>
                <w:kern w:val="2"/>
                <w:sz w:val="21"/>
                <w:szCs w:val="21"/>
              </w:rPr>
              <w:t xml:space="preserve">真空度： </w:t>
            </w:r>
          </w:p>
        </w:tc>
        <w:tc>
          <w:tcPr>
            <w:tcW w:w="4455" w:type="dxa"/>
            <w:noWrap w:val="0"/>
            <w:vAlign w:val="center"/>
          </w:tcPr>
          <w:p w14:paraId="15E97D69">
            <w:pPr>
              <w:autoSpaceDE w:val="0"/>
              <w:autoSpaceDN w:val="0"/>
              <w:jc w:val="center"/>
              <w:rPr>
                <w:rFonts w:ascii="宋体" w:hAnsi="宋体"/>
                <w:color w:val="000000"/>
                <w:szCs w:val="21"/>
              </w:rPr>
            </w:pPr>
            <w:r>
              <w:rPr>
                <w:rFonts w:hint="eastAsia" w:ascii="宋体" w:hAnsi="宋体"/>
                <w:color w:val="000000"/>
                <w:szCs w:val="21"/>
              </w:rPr>
              <w:t>≥-16</w:t>
            </w:r>
            <w:r>
              <w:rPr>
                <w:rFonts w:ascii="宋体" w:hAnsi="宋体"/>
                <w:color w:val="000000"/>
                <w:szCs w:val="21"/>
              </w:rPr>
              <w:t>K</w:t>
            </w:r>
            <w:r>
              <w:rPr>
                <w:rFonts w:hint="eastAsia" w:ascii="宋体" w:hAnsi="宋体"/>
                <w:color w:val="000000"/>
                <w:szCs w:val="21"/>
              </w:rPr>
              <w:t xml:space="preserve">pa </w:t>
            </w:r>
          </w:p>
        </w:tc>
      </w:tr>
      <w:tr w14:paraId="082E0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65" w:type="dxa"/>
            <w:noWrap w:val="0"/>
            <w:vAlign w:val="center"/>
          </w:tcPr>
          <w:p w14:paraId="24B06AD7">
            <w:pPr>
              <w:autoSpaceDE w:val="0"/>
              <w:autoSpaceDN w:val="0"/>
              <w:rPr>
                <w:rFonts w:ascii="Calibri" w:hAnsi="Calibri"/>
                <w:szCs w:val="21"/>
              </w:rPr>
            </w:pPr>
            <w:r>
              <w:rPr>
                <w:rFonts w:ascii="Calibri" w:hAnsi="Calibri"/>
                <w:szCs w:val="21"/>
              </w:rPr>
              <w:t>Motor Nominal power 电机名义功率</w:t>
            </w:r>
            <w:r>
              <w:rPr>
                <w:rFonts w:hint="eastAsia" w:ascii="Calibri" w:hAnsi="Calibri"/>
                <w:szCs w:val="21"/>
              </w:rPr>
              <w:t xml:space="preserve">： </w:t>
            </w:r>
          </w:p>
        </w:tc>
        <w:tc>
          <w:tcPr>
            <w:tcW w:w="4455" w:type="dxa"/>
            <w:noWrap w:val="0"/>
            <w:vAlign w:val="center"/>
          </w:tcPr>
          <w:p w14:paraId="3CF99682">
            <w:pPr>
              <w:autoSpaceDE w:val="0"/>
              <w:autoSpaceDN w:val="0"/>
              <w:jc w:val="center"/>
              <w:rPr>
                <w:rFonts w:ascii="宋体" w:hAnsi="宋体"/>
                <w:color w:val="000000"/>
                <w:szCs w:val="21"/>
              </w:rPr>
            </w:pPr>
            <w:r>
              <w:rPr>
                <w:rFonts w:hint="eastAsia" w:ascii="宋体" w:hAnsi="宋体"/>
                <w:color w:val="000000"/>
                <w:szCs w:val="21"/>
              </w:rPr>
              <w:t>3.4 kW</w:t>
            </w:r>
          </w:p>
        </w:tc>
      </w:tr>
      <w:tr w14:paraId="73558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65" w:type="dxa"/>
            <w:noWrap w:val="0"/>
            <w:vAlign w:val="center"/>
          </w:tcPr>
          <w:p w14:paraId="3AFE65C2">
            <w:pPr>
              <w:pStyle w:val="3"/>
              <w:widowControl/>
              <w:spacing w:before="0" w:beforeAutospacing="0" w:after="150" w:afterAutospacing="0" w:line="360" w:lineRule="auto"/>
              <w:rPr>
                <w:rFonts w:ascii="Calibri" w:hAnsi="Calibri"/>
                <w:kern w:val="2"/>
                <w:sz w:val="21"/>
                <w:szCs w:val="21"/>
              </w:rPr>
            </w:pPr>
            <w:r>
              <w:rPr>
                <w:rFonts w:ascii="Calibri" w:hAnsi="Calibri"/>
                <w:kern w:val="2"/>
                <w:sz w:val="21"/>
                <w:szCs w:val="21"/>
              </w:rPr>
              <w:t>Motor speed</w:t>
            </w:r>
            <w:r>
              <w:rPr>
                <w:rFonts w:hint="eastAsia" w:ascii="Calibri" w:hAnsi="Calibri"/>
                <w:kern w:val="2"/>
                <w:sz w:val="21"/>
                <w:szCs w:val="21"/>
              </w:rPr>
              <w:t xml:space="preserve">电机转速： </w:t>
            </w:r>
          </w:p>
        </w:tc>
        <w:tc>
          <w:tcPr>
            <w:tcW w:w="4455" w:type="dxa"/>
            <w:noWrap w:val="0"/>
            <w:vAlign w:val="center"/>
          </w:tcPr>
          <w:p w14:paraId="135E505E">
            <w:pPr>
              <w:autoSpaceDE w:val="0"/>
              <w:autoSpaceDN w:val="0"/>
              <w:rPr>
                <w:rFonts w:ascii="宋体" w:hAnsi="宋体"/>
                <w:color w:val="000000"/>
                <w:szCs w:val="21"/>
              </w:rPr>
            </w:pPr>
            <w:r>
              <w:rPr>
                <w:rFonts w:hint="eastAsia" w:ascii="宋体" w:hAnsi="宋体"/>
                <w:color w:val="000000"/>
                <w:szCs w:val="21"/>
              </w:rPr>
              <w:t xml:space="preserve">               2800 r/min </w:t>
            </w:r>
          </w:p>
        </w:tc>
      </w:tr>
      <w:tr w14:paraId="6D624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65" w:type="dxa"/>
            <w:noWrap w:val="0"/>
            <w:vAlign w:val="center"/>
          </w:tcPr>
          <w:p w14:paraId="0410E032">
            <w:pPr>
              <w:pStyle w:val="3"/>
              <w:widowControl/>
              <w:spacing w:before="0" w:beforeAutospacing="0" w:after="150" w:afterAutospacing="0" w:line="360" w:lineRule="auto"/>
              <w:rPr>
                <w:rFonts w:ascii="Calibri" w:hAnsi="Calibri"/>
                <w:kern w:val="2"/>
                <w:sz w:val="21"/>
                <w:szCs w:val="21"/>
              </w:rPr>
            </w:pPr>
            <w:r>
              <w:rPr>
                <w:rFonts w:ascii="Calibri" w:hAnsi="Calibri"/>
                <w:kern w:val="2"/>
                <w:sz w:val="21"/>
                <w:szCs w:val="21"/>
              </w:rPr>
              <w:t xml:space="preserve">Voltage/frequency </w:t>
            </w:r>
            <w:r>
              <w:rPr>
                <w:rFonts w:hint="eastAsia" w:ascii="Calibri" w:hAnsi="Calibri"/>
                <w:kern w:val="2"/>
                <w:sz w:val="21"/>
                <w:szCs w:val="21"/>
              </w:rPr>
              <w:t xml:space="preserve">电压/频率： </w:t>
            </w:r>
          </w:p>
        </w:tc>
        <w:tc>
          <w:tcPr>
            <w:tcW w:w="4455" w:type="dxa"/>
            <w:noWrap w:val="0"/>
            <w:vAlign w:val="center"/>
          </w:tcPr>
          <w:p w14:paraId="0DB0093C">
            <w:pPr>
              <w:autoSpaceDE w:val="0"/>
              <w:autoSpaceDN w:val="0"/>
              <w:jc w:val="center"/>
              <w:rPr>
                <w:rFonts w:ascii="宋体" w:hAnsi="宋体"/>
                <w:color w:val="000000"/>
                <w:szCs w:val="21"/>
              </w:rPr>
            </w:pPr>
            <w:r>
              <w:rPr>
                <w:rFonts w:hint="eastAsia" w:ascii="宋体" w:hAnsi="宋体"/>
                <w:color w:val="000000"/>
                <w:szCs w:val="21"/>
              </w:rPr>
              <w:t xml:space="preserve">220V/380V/50HZ </w:t>
            </w:r>
          </w:p>
        </w:tc>
      </w:tr>
      <w:tr w14:paraId="068E7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65" w:type="dxa"/>
            <w:noWrap w:val="0"/>
            <w:vAlign w:val="center"/>
          </w:tcPr>
          <w:p w14:paraId="1D43C964">
            <w:pPr>
              <w:pStyle w:val="3"/>
              <w:widowControl/>
              <w:spacing w:before="0" w:beforeAutospacing="0" w:after="150" w:afterAutospacing="0" w:line="360" w:lineRule="auto"/>
              <w:rPr>
                <w:rFonts w:ascii="Calibri" w:hAnsi="Calibri"/>
                <w:kern w:val="2"/>
                <w:sz w:val="21"/>
                <w:szCs w:val="21"/>
              </w:rPr>
            </w:pPr>
            <w:r>
              <w:rPr>
                <w:rFonts w:ascii="Calibri" w:hAnsi="Calibri"/>
                <w:kern w:val="2"/>
                <w:sz w:val="21"/>
                <w:szCs w:val="21"/>
              </w:rPr>
              <w:t xml:space="preserve">Motor protection grade/insulation class </w:t>
            </w:r>
            <w:r>
              <w:rPr>
                <w:rFonts w:hint="eastAsia" w:ascii="Calibri" w:hAnsi="Calibri"/>
                <w:kern w:val="2"/>
                <w:sz w:val="21"/>
                <w:szCs w:val="21"/>
              </w:rPr>
              <w:t xml:space="preserve">电机防护等级/绝缘等级： </w:t>
            </w:r>
          </w:p>
        </w:tc>
        <w:tc>
          <w:tcPr>
            <w:tcW w:w="4455" w:type="dxa"/>
            <w:noWrap w:val="0"/>
            <w:vAlign w:val="center"/>
          </w:tcPr>
          <w:p w14:paraId="06B12EDB">
            <w:pPr>
              <w:autoSpaceDE w:val="0"/>
              <w:autoSpaceDN w:val="0"/>
              <w:jc w:val="center"/>
              <w:rPr>
                <w:rFonts w:ascii="宋体" w:hAnsi="宋体"/>
                <w:color w:val="000000"/>
                <w:szCs w:val="21"/>
              </w:rPr>
            </w:pPr>
            <w:r>
              <w:rPr>
                <w:rFonts w:hint="eastAsia" w:ascii="宋体" w:hAnsi="宋体"/>
                <w:color w:val="000000"/>
                <w:szCs w:val="21"/>
              </w:rPr>
              <w:t xml:space="preserve">IP54 / F </w:t>
            </w:r>
          </w:p>
        </w:tc>
      </w:tr>
      <w:tr w14:paraId="7330A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65" w:type="dxa"/>
            <w:noWrap w:val="0"/>
            <w:vAlign w:val="center"/>
          </w:tcPr>
          <w:p w14:paraId="1ED764AA">
            <w:pPr>
              <w:pStyle w:val="3"/>
              <w:widowControl/>
              <w:spacing w:before="0" w:beforeAutospacing="0" w:after="150" w:afterAutospacing="0" w:line="360" w:lineRule="auto"/>
              <w:rPr>
                <w:rFonts w:ascii="Calibri" w:hAnsi="Calibri"/>
                <w:kern w:val="2"/>
                <w:sz w:val="21"/>
                <w:szCs w:val="21"/>
              </w:rPr>
            </w:pPr>
            <w:r>
              <w:rPr>
                <w:rFonts w:ascii="Calibri" w:hAnsi="Calibri"/>
                <w:kern w:val="2"/>
                <w:sz w:val="21"/>
                <w:szCs w:val="21"/>
              </w:rPr>
              <w:t xml:space="preserve">Drive way </w:t>
            </w:r>
            <w:r>
              <w:rPr>
                <w:rFonts w:hint="eastAsia" w:ascii="Calibri" w:hAnsi="Calibri"/>
                <w:kern w:val="2"/>
                <w:sz w:val="21"/>
                <w:szCs w:val="21"/>
              </w:rPr>
              <w:t xml:space="preserve">驱动方式： </w:t>
            </w:r>
          </w:p>
        </w:tc>
        <w:tc>
          <w:tcPr>
            <w:tcW w:w="4455" w:type="dxa"/>
            <w:noWrap w:val="0"/>
            <w:vAlign w:val="center"/>
          </w:tcPr>
          <w:p w14:paraId="3CA5933F">
            <w:pPr>
              <w:autoSpaceDE w:val="0"/>
              <w:autoSpaceDN w:val="0"/>
              <w:jc w:val="center"/>
              <w:rPr>
                <w:rFonts w:ascii="宋体" w:hAnsi="宋体"/>
                <w:color w:val="000000"/>
                <w:szCs w:val="21"/>
              </w:rPr>
            </w:pPr>
            <w:r>
              <w:rPr>
                <w:rFonts w:hint="eastAsia" w:ascii="宋体" w:hAnsi="宋体"/>
                <w:color w:val="000000"/>
                <w:szCs w:val="21"/>
              </w:rPr>
              <w:t xml:space="preserve">直联 </w:t>
            </w:r>
          </w:p>
        </w:tc>
      </w:tr>
      <w:tr w14:paraId="117F1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65" w:type="dxa"/>
            <w:noWrap w:val="0"/>
            <w:vAlign w:val="center"/>
          </w:tcPr>
          <w:p w14:paraId="534997C5">
            <w:pPr>
              <w:pStyle w:val="3"/>
              <w:widowControl/>
              <w:spacing w:before="0" w:beforeAutospacing="0" w:after="150" w:afterAutospacing="0" w:line="360" w:lineRule="auto"/>
              <w:rPr>
                <w:rFonts w:ascii="Calibri" w:hAnsi="Calibri"/>
                <w:kern w:val="2"/>
                <w:sz w:val="21"/>
                <w:szCs w:val="21"/>
              </w:rPr>
            </w:pPr>
            <w:r>
              <w:rPr>
                <w:rFonts w:ascii="Calibri" w:hAnsi="Calibri"/>
                <w:kern w:val="2"/>
                <w:sz w:val="21"/>
                <w:szCs w:val="21"/>
              </w:rPr>
              <w:t>Noise</w:t>
            </w:r>
            <w:r>
              <w:rPr>
                <w:rFonts w:hint="eastAsia" w:ascii="Calibri" w:hAnsi="Calibri"/>
                <w:kern w:val="2"/>
                <w:sz w:val="21"/>
                <w:szCs w:val="21"/>
              </w:rPr>
              <w:t xml:space="preserve"> of 1m 1米处噪音值： </w:t>
            </w:r>
          </w:p>
        </w:tc>
        <w:tc>
          <w:tcPr>
            <w:tcW w:w="4455" w:type="dxa"/>
            <w:noWrap w:val="0"/>
            <w:vAlign w:val="center"/>
          </w:tcPr>
          <w:p w14:paraId="366942B3">
            <w:pPr>
              <w:autoSpaceDE w:val="0"/>
              <w:autoSpaceDN w:val="0"/>
              <w:jc w:val="center"/>
              <w:rPr>
                <w:rFonts w:ascii="宋体" w:hAnsi="宋体"/>
                <w:color w:val="000000"/>
                <w:szCs w:val="21"/>
              </w:rPr>
            </w:pPr>
            <w:r>
              <w:rPr>
                <w:rFonts w:hint="eastAsia" w:ascii="宋体" w:hAnsi="宋体"/>
                <w:color w:val="000000"/>
                <w:szCs w:val="21"/>
              </w:rPr>
              <w:t xml:space="preserve">65±3 dB(A) </w:t>
            </w:r>
          </w:p>
        </w:tc>
      </w:tr>
      <w:tr w14:paraId="197F1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65" w:type="dxa"/>
            <w:noWrap w:val="0"/>
            <w:vAlign w:val="center"/>
          </w:tcPr>
          <w:p w14:paraId="0DD54B09">
            <w:pPr>
              <w:pStyle w:val="3"/>
              <w:widowControl/>
              <w:spacing w:before="0" w:beforeAutospacing="0" w:after="150" w:afterAutospacing="0" w:line="360" w:lineRule="auto"/>
              <w:rPr>
                <w:rFonts w:ascii="Calibri" w:hAnsi="Calibri"/>
                <w:kern w:val="2"/>
                <w:sz w:val="21"/>
                <w:szCs w:val="21"/>
              </w:rPr>
            </w:pPr>
            <w:r>
              <w:rPr>
                <w:rFonts w:ascii="Calibri" w:hAnsi="Calibri"/>
                <w:kern w:val="2"/>
                <w:sz w:val="21"/>
                <w:szCs w:val="21"/>
              </w:rPr>
              <w:t>Cooling method 冷却方式</w:t>
            </w:r>
            <w:r>
              <w:rPr>
                <w:rFonts w:hint="eastAsia" w:ascii="Calibri" w:hAnsi="Calibri"/>
                <w:kern w:val="2"/>
                <w:sz w:val="21"/>
                <w:szCs w:val="21"/>
              </w:rPr>
              <w:t xml:space="preserve">： </w:t>
            </w:r>
          </w:p>
        </w:tc>
        <w:tc>
          <w:tcPr>
            <w:tcW w:w="4455" w:type="dxa"/>
            <w:noWrap w:val="0"/>
            <w:vAlign w:val="center"/>
          </w:tcPr>
          <w:p w14:paraId="3A3BE1BE">
            <w:pPr>
              <w:autoSpaceDE w:val="0"/>
              <w:autoSpaceDN w:val="0"/>
              <w:jc w:val="center"/>
              <w:rPr>
                <w:rFonts w:ascii="宋体" w:hAnsi="宋体"/>
                <w:color w:val="000000"/>
                <w:szCs w:val="21"/>
              </w:rPr>
            </w:pPr>
            <w:r>
              <w:rPr>
                <w:rFonts w:hint="eastAsia" w:ascii="宋体" w:hAnsi="宋体"/>
                <w:color w:val="000000"/>
                <w:szCs w:val="21"/>
              </w:rPr>
              <w:t xml:space="preserve">风冷 </w:t>
            </w:r>
          </w:p>
        </w:tc>
      </w:tr>
      <w:tr w14:paraId="7D004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65" w:type="dxa"/>
            <w:noWrap w:val="0"/>
            <w:vAlign w:val="center"/>
          </w:tcPr>
          <w:p w14:paraId="5BB4CBC9">
            <w:pPr>
              <w:pStyle w:val="3"/>
              <w:widowControl/>
              <w:spacing w:before="0" w:beforeAutospacing="0" w:after="150" w:afterAutospacing="0" w:line="360" w:lineRule="auto"/>
              <w:rPr>
                <w:rFonts w:ascii="Calibri" w:hAnsi="Calibri"/>
                <w:kern w:val="2"/>
                <w:sz w:val="21"/>
                <w:szCs w:val="21"/>
              </w:rPr>
            </w:pPr>
            <w:r>
              <w:rPr>
                <w:rFonts w:ascii="Calibri" w:hAnsi="Calibri"/>
                <w:kern w:val="2"/>
                <w:sz w:val="21"/>
                <w:szCs w:val="21"/>
              </w:rPr>
              <w:t xml:space="preserve">Start the way </w:t>
            </w:r>
            <w:r>
              <w:rPr>
                <w:rFonts w:hint="eastAsia" w:ascii="Calibri" w:hAnsi="Calibri"/>
                <w:kern w:val="2"/>
                <w:sz w:val="21"/>
                <w:szCs w:val="21"/>
              </w:rPr>
              <w:t xml:space="preserve">自动启动方式： </w:t>
            </w:r>
          </w:p>
        </w:tc>
        <w:tc>
          <w:tcPr>
            <w:tcW w:w="4455" w:type="dxa"/>
            <w:noWrap w:val="0"/>
            <w:vAlign w:val="center"/>
          </w:tcPr>
          <w:p w14:paraId="08041F80">
            <w:pPr>
              <w:autoSpaceDE w:val="0"/>
              <w:autoSpaceDN w:val="0"/>
              <w:jc w:val="center"/>
              <w:rPr>
                <w:rFonts w:ascii="宋体" w:hAnsi="宋体"/>
                <w:color w:val="000000"/>
                <w:szCs w:val="21"/>
              </w:rPr>
            </w:pPr>
            <w:r>
              <w:rPr>
                <w:rFonts w:hint="eastAsia" w:ascii="宋体" w:hAnsi="宋体"/>
                <w:color w:val="000000"/>
                <w:szCs w:val="21"/>
              </w:rPr>
              <w:t xml:space="preserve">Y-△ </w:t>
            </w:r>
          </w:p>
        </w:tc>
      </w:tr>
      <w:tr w14:paraId="328D4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65" w:type="dxa"/>
            <w:noWrap w:val="0"/>
            <w:vAlign w:val="center"/>
          </w:tcPr>
          <w:p w14:paraId="6060FD70">
            <w:pPr>
              <w:pStyle w:val="3"/>
              <w:widowControl/>
              <w:spacing w:before="0" w:beforeAutospacing="0" w:after="150" w:afterAutospacing="0" w:line="360" w:lineRule="auto"/>
              <w:rPr>
                <w:rFonts w:ascii="Calibri" w:hAnsi="Calibri"/>
                <w:kern w:val="2"/>
                <w:sz w:val="21"/>
                <w:szCs w:val="21"/>
              </w:rPr>
            </w:pPr>
            <w:r>
              <w:rPr>
                <w:rFonts w:ascii="Calibri" w:hAnsi="Calibri"/>
                <w:kern w:val="2"/>
                <w:sz w:val="21"/>
                <w:szCs w:val="21"/>
              </w:rPr>
              <w:t xml:space="preserve">Export size </w:t>
            </w:r>
            <w:r>
              <w:rPr>
                <w:rFonts w:hint="eastAsia" w:ascii="Calibri" w:hAnsi="Calibri"/>
                <w:kern w:val="2"/>
                <w:sz w:val="21"/>
                <w:szCs w:val="21"/>
              </w:rPr>
              <w:t xml:space="preserve">出口尺寸： </w:t>
            </w:r>
          </w:p>
        </w:tc>
        <w:tc>
          <w:tcPr>
            <w:tcW w:w="4455" w:type="dxa"/>
            <w:noWrap w:val="0"/>
            <w:vAlign w:val="center"/>
          </w:tcPr>
          <w:p w14:paraId="59747D86">
            <w:pPr>
              <w:autoSpaceDE w:val="0"/>
              <w:autoSpaceDN w:val="0"/>
              <w:jc w:val="center"/>
              <w:rPr>
                <w:rFonts w:ascii="宋体" w:hAnsi="宋体"/>
                <w:color w:val="000000"/>
                <w:szCs w:val="21"/>
              </w:rPr>
            </w:pPr>
            <w:r>
              <w:rPr>
                <w:rFonts w:hint="eastAsia" w:ascii="宋体" w:hAnsi="宋体"/>
                <w:color w:val="000000"/>
                <w:szCs w:val="21"/>
              </w:rPr>
              <w:t xml:space="preserve">Rc11/2 </w:t>
            </w:r>
          </w:p>
        </w:tc>
      </w:tr>
      <w:tr w14:paraId="52BD9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65" w:type="dxa"/>
            <w:noWrap w:val="0"/>
            <w:vAlign w:val="center"/>
          </w:tcPr>
          <w:p w14:paraId="24BA00D7">
            <w:pPr>
              <w:pStyle w:val="3"/>
              <w:widowControl/>
              <w:spacing w:before="0" w:beforeAutospacing="0" w:after="150" w:afterAutospacing="0" w:line="360" w:lineRule="auto"/>
              <w:rPr>
                <w:rFonts w:ascii="Calibri" w:hAnsi="Calibri"/>
                <w:kern w:val="2"/>
                <w:sz w:val="21"/>
                <w:szCs w:val="21"/>
              </w:rPr>
            </w:pPr>
            <w:r>
              <w:rPr>
                <w:rFonts w:ascii="Calibri" w:hAnsi="Calibri"/>
                <w:kern w:val="2"/>
                <w:sz w:val="21"/>
                <w:szCs w:val="21"/>
              </w:rPr>
              <w:t>Weight  机组重量</w:t>
            </w:r>
            <w:r>
              <w:rPr>
                <w:rFonts w:hint="eastAsia" w:ascii="Calibri" w:hAnsi="Calibri"/>
                <w:kern w:val="2"/>
                <w:sz w:val="21"/>
                <w:szCs w:val="21"/>
              </w:rPr>
              <w:t xml:space="preserve">： </w:t>
            </w:r>
          </w:p>
        </w:tc>
        <w:tc>
          <w:tcPr>
            <w:tcW w:w="4455" w:type="dxa"/>
            <w:noWrap w:val="0"/>
            <w:vAlign w:val="center"/>
          </w:tcPr>
          <w:p w14:paraId="34DC6B3B">
            <w:pPr>
              <w:autoSpaceDE w:val="0"/>
              <w:autoSpaceDN w:val="0"/>
              <w:jc w:val="center"/>
              <w:rPr>
                <w:rFonts w:ascii="宋体" w:hAnsi="宋体"/>
                <w:color w:val="000000"/>
                <w:szCs w:val="21"/>
              </w:rPr>
            </w:pPr>
            <w:r>
              <w:rPr>
                <w:rFonts w:hint="eastAsia" w:ascii="宋体" w:hAnsi="宋体"/>
                <w:color w:val="000000"/>
                <w:szCs w:val="21"/>
              </w:rPr>
              <w:t xml:space="preserve">105 kg </w:t>
            </w:r>
          </w:p>
        </w:tc>
      </w:tr>
      <w:tr w14:paraId="06FEB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65" w:type="dxa"/>
            <w:noWrap w:val="0"/>
            <w:vAlign w:val="center"/>
          </w:tcPr>
          <w:p w14:paraId="61FB80E1">
            <w:pPr>
              <w:pStyle w:val="3"/>
              <w:widowControl/>
              <w:spacing w:before="0" w:beforeAutospacing="0" w:after="150" w:afterAutospacing="0" w:line="360" w:lineRule="auto"/>
              <w:rPr>
                <w:rFonts w:ascii="Calibri" w:hAnsi="Calibri"/>
                <w:kern w:val="2"/>
                <w:sz w:val="21"/>
                <w:szCs w:val="21"/>
              </w:rPr>
            </w:pPr>
            <w:r>
              <w:rPr>
                <w:rFonts w:ascii="Calibri" w:hAnsi="Calibri"/>
                <w:kern w:val="2"/>
                <w:sz w:val="21"/>
                <w:szCs w:val="21"/>
              </w:rPr>
              <w:t>Outline dimension (L/W/H)  外形尺寸</w:t>
            </w:r>
          </w:p>
        </w:tc>
        <w:tc>
          <w:tcPr>
            <w:tcW w:w="4455" w:type="dxa"/>
            <w:noWrap w:val="0"/>
            <w:vAlign w:val="center"/>
          </w:tcPr>
          <w:p w14:paraId="67C807B6">
            <w:pPr>
              <w:autoSpaceDE w:val="0"/>
              <w:autoSpaceDN w:val="0"/>
              <w:jc w:val="center"/>
              <w:rPr>
                <w:rFonts w:ascii="宋体" w:hAnsi="宋体"/>
                <w:color w:val="000000"/>
                <w:szCs w:val="21"/>
              </w:rPr>
            </w:pPr>
            <w:r>
              <w:rPr>
                <w:rFonts w:hint="eastAsia" w:ascii="宋体" w:hAnsi="宋体"/>
                <w:color w:val="000000"/>
                <w:szCs w:val="21"/>
              </w:rPr>
              <w:t xml:space="preserve">810*680*1150mm </w:t>
            </w:r>
          </w:p>
        </w:tc>
      </w:tr>
      <w:tr w14:paraId="484F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65" w:type="dxa"/>
            <w:noWrap w:val="0"/>
            <w:vAlign w:val="center"/>
          </w:tcPr>
          <w:p w14:paraId="781DCAE3">
            <w:pPr>
              <w:pStyle w:val="3"/>
              <w:widowControl/>
              <w:spacing w:before="0" w:beforeAutospacing="0" w:after="150" w:afterAutospacing="0" w:line="360" w:lineRule="auto"/>
              <w:rPr>
                <w:rFonts w:ascii="Calibri" w:hAnsi="Calibri"/>
                <w:kern w:val="2"/>
                <w:sz w:val="21"/>
                <w:szCs w:val="21"/>
              </w:rPr>
            </w:pPr>
            <w:r>
              <w:rPr>
                <w:rFonts w:ascii="Calibri" w:hAnsi="Calibri"/>
                <w:kern w:val="2"/>
                <w:sz w:val="21"/>
                <w:szCs w:val="21"/>
              </w:rPr>
              <w:t>Pollution discharge mode</w:t>
            </w:r>
            <w:r>
              <w:rPr>
                <w:rFonts w:hint="eastAsia" w:ascii="Calibri" w:hAnsi="Calibri"/>
                <w:kern w:val="2"/>
                <w:sz w:val="21"/>
                <w:szCs w:val="21"/>
              </w:rPr>
              <w:t>排污方式</w:t>
            </w:r>
          </w:p>
        </w:tc>
        <w:tc>
          <w:tcPr>
            <w:tcW w:w="4455" w:type="dxa"/>
            <w:noWrap w:val="0"/>
            <w:vAlign w:val="center"/>
          </w:tcPr>
          <w:p w14:paraId="06064638">
            <w:pPr>
              <w:autoSpaceDE w:val="0"/>
              <w:autoSpaceDN w:val="0"/>
              <w:jc w:val="center"/>
              <w:rPr>
                <w:rFonts w:ascii="宋体" w:hAnsi="宋体"/>
                <w:color w:val="000000"/>
                <w:szCs w:val="21"/>
              </w:rPr>
            </w:pPr>
            <w:r>
              <w:rPr>
                <w:rFonts w:hint="eastAsia" w:ascii="宋体" w:hAnsi="宋体"/>
                <w:color w:val="000000"/>
                <w:szCs w:val="21"/>
              </w:rPr>
              <w:t>强排/自流双模式</w:t>
            </w:r>
          </w:p>
        </w:tc>
      </w:tr>
    </w:tbl>
    <w:p w14:paraId="5C08D1A9">
      <w:pPr>
        <w:numPr>
          <w:ilvl w:val="0"/>
          <w:numId w:val="0"/>
        </w:numPr>
        <w:rPr>
          <w:rFonts w:hint="eastAsia"/>
          <w:bCs/>
          <w:sz w:val="22"/>
          <w:szCs w:val="28"/>
          <w:lang w:val="en-US" w:eastAsia="zh-CN"/>
        </w:rPr>
      </w:pPr>
    </w:p>
    <w:p w14:paraId="211E498E">
      <w:pPr>
        <w:numPr>
          <w:ilvl w:val="0"/>
          <w:numId w:val="0"/>
        </w:numPr>
        <w:rPr>
          <w:rFonts w:hint="eastAsia" w:ascii="宋体" w:hAnsi="宋体" w:eastAsia="宋体" w:cs="宋体"/>
          <w:b/>
          <w:bCs/>
          <w:color w:val="000000"/>
          <w:kern w:val="0"/>
          <w:sz w:val="24"/>
          <w:lang w:val="en-US" w:eastAsia="zh-CN"/>
        </w:rPr>
      </w:pPr>
      <w:r>
        <w:rPr>
          <w:rFonts w:hint="eastAsia" w:ascii="宋体" w:hAnsi="宋体"/>
          <w:b/>
          <w:bCs/>
          <w:sz w:val="24"/>
          <w:lang w:eastAsia="zh-CN"/>
        </w:rPr>
        <w:t>（</w:t>
      </w:r>
      <w:r>
        <w:rPr>
          <w:rFonts w:hint="eastAsia" w:ascii="宋体" w:hAnsi="宋体"/>
          <w:b/>
          <w:bCs/>
          <w:sz w:val="24"/>
          <w:lang w:val="en-US" w:eastAsia="zh-CN"/>
        </w:rPr>
        <w:t>三</w:t>
      </w:r>
      <w:r>
        <w:rPr>
          <w:rFonts w:hint="eastAsia" w:ascii="宋体" w:hAnsi="宋体"/>
          <w:b/>
          <w:bCs/>
          <w:sz w:val="24"/>
          <w:lang w:eastAsia="zh-CN"/>
        </w:rPr>
        <w:t>）</w:t>
      </w:r>
      <w:r>
        <w:rPr>
          <w:rFonts w:hint="eastAsia" w:ascii="宋体" w:hAnsi="宋体" w:eastAsia="宋体" w:cs="宋体"/>
          <w:b/>
          <w:bCs/>
          <w:color w:val="000000"/>
          <w:kern w:val="0"/>
          <w:sz w:val="24"/>
          <w:lang w:val="en-US" w:eastAsia="zh-CN"/>
        </w:rPr>
        <w:t>管道及其他附属项目：</w:t>
      </w:r>
    </w:p>
    <w:p w14:paraId="00FA99D8">
      <w:pPr>
        <w:numPr>
          <w:ilvl w:val="0"/>
          <w:numId w:val="0"/>
        </w:numPr>
        <w:rPr>
          <w:rFonts w:hint="eastAsia" w:ascii="宋体" w:hAnsi="宋体" w:eastAsia="宋体" w:cs="宋体"/>
          <w:color w:val="000000"/>
          <w:kern w:val="0"/>
          <w:sz w:val="24"/>
        </w:rPr>
      </w:pPr>
      <w:r>
        <w:rPr>
          <w:rFonts w:hint="eastAsia" w:ascii="宋体" w:hAnsi="宋体" w:eastAsia="宋体" w:cs="宋体"/>
          <w:color w:val="000000"/>
          <w:kern w:val="0"/>
          <w:sz w:val="24"/>
        </w:rPr>
        <w:t>50PVC管道210米；地面开孔32个；50pvc管道与主下水管对接；防水处理32个孔道周边地面；换气扇1台；隔断一间15个平方左右；改动之前的空压机系统格局位置。</w:t>
      </w:r>
    </w:p>
    <w:p w14:paraId="7EC99544">
      <w:pPr>
        <w:numPr>
          <w:ilvl w:val="0"/>
          <w:numId w:val="0"/>
        </w:numPr>
        <w:rPr>
          <w:rFonts w:hint="eastAsia" w:ascii="宋体" w:hAnsi="宋体" w:eastAsia="宋体" w:cs="宋体"/>
          <w:color w:val="000000"/>
          <w:kern w:val="0"/>
          <w:sz w:val="24"/>
        </w:rPr>
      </w:pPr>
    </w:p>
    <w:p w14:paraId="28B9243B">
      <w:pPr>
        <w:numPr>
          <w:ilvl w:val="0"/>
          <w:numId w:val="0"/>
        </w:numPr>
        <w:rPr>
          <w:rFonts w:hint="default" w:ascii="宋体" w:hAnsi="宋体" w:eastAsia="宋体" w:cs="宋体"/>
          <w:b/>
          <w:bCs/>
          <w:color w:val="000000"/>
          <w:kern w:val="0"/>
          <w:sz w:val="24"/>
          <w:lang w:val="en-US" w:eastAsia="zh-CN"/>
        </w:rPr>
      </w:pPr>
      <w:r>
        <w:rPr>
          <w:rFonts w:hint="eastAsia" w:ascii="宋体" w:hAnsi="宋体" w:eastAsia="宋体" w:cs="宋体"/>
          <w:b/>
          <w:bCs/>
          <w:color w:val="000000"/>
          <w:kern w:val="0"/>
          <w:sz w:val="24"/>
          <w:lang w:val="en-US" w:eastAsia="zh-CN"/>
        </w:rPr>
        <w:t>（四）采购清单</w:t>
      </w:r>
    </w:p>
    <w:tbl>
      <w:tblPr>
        <w:tblStyle w:val="4"/>
        <w:tblW w:w="4997" w:type="pct"/>
        <w:tblInd w:w="0" w:type="dxa"/>
        <w:tblLayout w:type="fixed"/>
        <w:tblCellMar>
          <w:top w:w="0" w:type="dxa"/>
          <w:left w:w="108" w:type="dxa"/>
          <w:bottom w:w="0" w:type="dxa"/>
          <w:right w:w="108" w:type="dxa"/>
        </w:tblCellMar>
      </w:tblPr>
      <w:tblGrid>
        <w:gridCol w:w="1959"/>
        <w:gridCol w:w="1453"/>
        <w:gridCol w:w="1452"/>
        <w:gridCol w:w="3653"/>
      </w:tblGrid>
      <w:tr w14:paraId="4C68806D">
        <w:tblPrEx>
          <w:tblCellMar>
            <w:top w:w="0" w:type="dxa"/>
            <w:left w:w="108" w:type="dxa"/>
            <w:bottom w:w="0" w:type="dxa"/>
            <w:right w:w="108" w:type="dxa"/>
          </w:tblCellMar>
        </w:tblPrEx>
        <w:trPr>
          <w:trHeight w:val="780" w:hRule="atLeast"/>
        </w:trPr>
        <w:tc>
          <w:tcPr>
            <w:tcW w:w="1150" w:type="pct"/>
            <w:tcBorders>
              <w:top w:val="single" w:color="000000" w:sz="4" w:space="0"/>
              <w:left w:val="single" w:color="000000" w:sz="4" w:space="0"/>
              <w:bottom w:val="single" w:color="000000" w:sz="4" w:space="0"/>
              <w:right w:val="single" w:color="000000" w:sz="4" w:space="0"/>
            </w:tcBorders>
            <w:noWrap/>
            <w:vAlign w:val="center"/>
          </w:tcPr>
          <w:p w14:paraId="5EB05DD8">
            <w:pPr>
              <w:widowControl/>
              <w:jc w:val="center"/>
              <w:rPr>
                <w:rFonts w:ascii="宋体" w:hAnsi="宋体" w:eastAsia="宋体" w:cs="宋体"/>
                <w:color w:val="000000"/>
                <w:sz w:val="24"/>
              </w:rPr>
            </w:pPr>
            <w:r>
              <w:rPr>
                <w:rFonts w:hint="eastAsia" w:ascii="宋体" w:hAnsi="宋体" w:eastAsia="宋体" w:cs="宋体"/>
                <w:color w:val="000000"/>
                <w:kern w:val="0"/>
                <w:sz w:val="24"/>
              </w:rPr>
              <w:t>设备名称</w:t>
            </w:r>
          </w:p>
        </w:tc>
        <w:tc>
          <w:tcPr>
            <w:tcW w:w="852" w:type="pct"/>
            <w:tcBorders>
              <w:top w:val="single" w:color="000000" w:sz="4" w:space="0"/>
              <w:left w:val="single" w:color="000000" w:sz="4" w:space="0"/>
              <w:bottom w:val="single" w:color="000000" w:sz="4" w:space="0"/>
              <w:right w:val="single" w:color="000000" w:sz="4" w:space="0"/>
            </w:tcBorders>
            <w:noWrap/>
            <w:vAlign w:val="center"/>
          </w:tcPr>
          <w:p w14:paraId="093A7817">
            <w:pPr>
              <w:widowControl/>
              <w:jc w:val="center"/>
              <w:rPr>
                <w:rFonts w:ascii="宋体" w:hAnsi="宋体" w:eastAsia="宋体" w:cs="宋体"/>
                <w:color w:val="000000"/>
                <w:sz w:val="24"/>
              </w:rPr>
            </w:pPr>
            <w:r>
              <w:rPr>
                <w:rFonts w:hint="eastAsia" w:ascii="宋体" w:hAnsi="宋体" w:eastAsia="宋体" w:cs="宋体"/>
                <w:color w:val="000000"/>
                <w:kern w:val="0"/>
                <w:sz w:val="24"/>
              </w:rPr>
              <w:t>型号</w:t>
            </w:r>
          </w:p>
        </w:tc>
        <w:tc>
          <w:tcPr>
            <w:tcW w:w="852" w:type="pct"/>
            <w:tcBorders>
              <w:top w:val="single" w:color="000000" w:sz="4" w:space="0"/>
              <w:left w:val="single" w:color="000000" w:sz="4" w:space="0"/>
              <w:bottom w:val="single" w:color="000000" w:sz="4" w:space="0"/>
              <w:right w:val="single" w:color="000000" w:sz="4" w:space="0"/>
            </w:tcBorders>
            <w:noWrap/>
            <w:vAlign w:val="center"/>
          </w:tcPr>
          <w:p w14:paraId="45749FDC">
            <w:pPr>
              <w:widowControl/>
              <w:jc w:val="center"/>
              <w:rPr>
                <w:rFonts w:ascii="宋体" w:hAnsi="宋体" w:eastAsia="宋体" w:cs="宋体"/>
                <w:color w:val="000000"/>
                <w:sz w:val="24"/>
              </w:rPr>
            </w:pPr>
            <w:r>
              <w:rPr>
                <w:rFonts w:hint="eastAsia" w:ascii="宋体" w:hAnsi="宋体" w:eastAsia="宋体" w:cs="宋体"/>
                <w:color w:val="000000"/>
                <w:kern w:val="0"/>
                <w:sz w:val="24"/>
              </w:rPr>
              <w:t>数量</w:t>
            </w:r>
          </w:p>
        </w:tc>
        <w:tc>
          <w:tcPr>
            <w:tcW w:w="2144" w:type="pct"/>
            <w:tcBorders>
              <w:top w:val="single" w:color="000000" w:sz="4" w:space="0"/>
              <w:left w:val="single" w:color="000000" w:sz="4" w:space="0"/>
              <w:bottom w:val="single" w:color="000000" w:sz="4" w:space="0"/>
              <w:right w:val="single" w:color="000000" w:sz="4" w:space="0"/>
            </w:tcBorders>
            <w:noWrap w:val="0"/>
            <w:vAlign w:val="center"/>
          </w:tcPr>
          <w:p w14:paraId="2283A3F9">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参数备注</w:t>
            </w:r>
          </w:p>
        </w:tc>
      </w:tr>
      <w:tr w14:paraId="20336FB0">
        <w:tblPrEx>
          <w:tblCellMar>
            <w:top w:w="0" w:type="dxa"/>
            <w:left w:w="108" w:type="dxa"/>
            <w:bottom w:w="0" w:type="dxa"/>
            <w:right w:w="108" w:type="dxa"/>
          </w:tblCellMar>
        </w:tblPrEx>
        <w:trPr>
          <w:trHeight w:val="780" w:hRule="atLeast"/>
        </w:trPr>
        <w:tc>
          <w:tcPr>
            <w:tcW w:w="1150" w:type="pct"/>
            <w:tcBorders>
              <w:top w:val="single" w:color="000000" w:sz="4" w:space="0"/>
              <w:left w:val="single" w:color="000000" w:sz="4" w:space="0"/>
              <w:bottom w:val="single" w:color="000000" w:sz="4" w:space="0"/>
              <w:right w:val="single" w:color="000000" w:sz="4" w:space="0"/>
            </w:tcBorders>
            <w:noWrap/>
            <w:vAlign w:val="center"/>
          </w:tcPr>
          <w:p w14:paraId="0344CAC1">
            <w:pPr>
              <w:widowControl/>
              <w:jc w:val="center"/>
              <w:rPr>
                <w:rFonts w:ascii="宋体" w:hAnsi="宋体" w:eastAsia="宋体" w:cs="宋体"/>
                <w:color w:val="000000"/>
                <w:sz w:val="24"/>
                <w:highlight w:val="yellow"/>
              </w:rPr>
            </w:pPr>
            <w:r>
              <w:rPr>
                <w:rFonts w:hint="eastAsia" w:ascii="宋体" w:hAnsi="宋体" w:eastAsia="宋体" w:cs="宋体"/>
                <w:color w:val="000000"/>
                <w:kern w:val="0"/>
                <w:sz w:val="24"/>
                <w:highlight w:val="yellow"/>
              </w:rPr>
              <w:t>牙椅整改选位阀</w:t>
            </w:r>
          </w:p>
        </w:tc>
        <w:tc>
          <w:tcPr>
            <w:tcW w:w="852" w:type="pct"/>
            <w:tcBorders>
              <w:top w:val="single" w:color="000000" w:sz="4" w:space="0"/>
              <w:left w:val="single" w:color="000000" w:sz="4" w:space="0"/>
              <w:bottom w:val="single" w:color="000000" w:sz="4" w:space="0"/>
              <w:right w:val="single" w:color="000000" w:sz="4" w:space="0"/>
            </w:tcBorders>
            <w:noWrap/>
            <w:vAlign w:val="center"/>
          </w:tcPr>
          <w:p w14:paraId="73FD79F5">
            <w:pPr>
              <w:widowControl/>
              <w:jc w:val="center"/>
              <w:rPr>
                <w:rFonts w:ascii="宋体" w:hAnsi="宋体" w:eastAsia="宋体" w:cs="宋体"/>
                <w:color w:val="000000"/>
                <w:kern w:val="0"/>
                <w:sz w:val="24"/>
                <w:highlight w:val="yellow"/>
              </w:rPr>
            </w:pPr>
            <w:r>
              <w:rPr>
                <w:rFonts w:hint="eastAsia" w:ascii="宋体" w:hAnsi="宋体" w:eastAsia="宋体" w:cs="宋体"/>
                <w:color w:val="000000"/>
                <w:kern w:val="0"/>
                <w:sz w:val="24"/>
                <w:highlight w:val="yellow"/>
              </w:rPr>
              <w:t>J38-0139</w:t>
            </w:r>
          </w:p>
          <w:p w14:paraId="49690D6A">
            <w:pPr>
              <w:widowControl/>
              <w:jc w:val="center"/>
              <w:rPr>
                <w:rFonts w:ascii="宋体" w:hAnsi="宋体" w:eastAsia="宋体" w:cs="宋体"/>
                <w:color w:val="000000"/>
                <w:sz w:val="24"/>
                <w:highlight w:val="yellow"/>
              </w:rPr>
            </w:pPr>
            <w:r>
              <w:rPr>
                <w:rFonts w:hint="eastAsia" w:ascii="宋体" w:hAnsi="宋体" w:eastAsia="宋体" w:cs="宋体"/>
                <w:color w:val="000000"/>
                <w:kern w:val="0"/>
                <w:sz w:val="24"/>
                <w:highlight w:val="yellow"/>
              </w:rPr>
              <w:t>新华</w:t>
            </w:r>
          </w:p>
        </w:tc>
        <w:tc>
          <w:tcPr>
            <w:tcW w:w="852" w:type="pct"/>
            <w:tcBorders>
              <w:top w:val="single" w:color="000000" w:sz="4" w:space="0"/>
              <w:left w:val="single" w:color="000000" w:sz="4" w:space="0"/>
              <w:bottom w:val="single" w:color="000000" w:sz="4" w:space="0"/>
              <w:right w:val="single" w:color="000000" w:sz="4" w:space="0"/>
            </w:tcBorders>
            <w:noWrap/>
            <w:vAlign w:val="center"/>
          </w:tcPr>
          <w:p w14:paraId="3DCE22C8">
            <w:pPr>
              <w:widowControl/>
              <w:jc w:val="center"/>
              <w:rPr>
                <w:rFonts w:ascii="宋体" w:hAnsi="宋体" w:eastAsia="宋体" w:cs="宋体"/>
                <w:color w:val="000000"/>
                <w:sz w:val="24"/>
                <w:highlight w:val="yellow"/>
              </w:rPr>
            </w:pPr>
            <w:r>
              <w:rPr>
                <w:rFonts w:hint="eastAsia" w:ascii="宋体" w:hAnsi="宋体" w:eastAsia="宋体" w:cs="宋体"/>
                <w:color w:val="000000"/>
                <w:kern w:val="0"/>
                <w:sz w:val="24"/>
                <w:highlight w:val="yellow"/>
              </w:rPr>
              <w:t>19套</w:t>
            </w:r>
          </w:p>
        </w:tc>
        <w:tc>
          <w:tcPr>
            <w:tcW w:w="2144" w:type="pct"/>
            <w:tcBorders>
              <w:top w:val="single" w:color="000000" w:sz="4" w:space="0"/>
              <w:left w:val="single" w:color="000000" w:sz="4" w:space="0"/>
              <w:bottom w:val="single" w:color="000000" w:sz="4" w:space="0"/>
              <w:right w:val="single" w:color="000000" w:sz="4" w:space="0"/>
            </w:tcBorders>
            <w:noWrap w:val="0"/>
            <w:vAlign w:val="top"/>
          </w:tcPr>
          <w:p w14:paraId="27D29246">
            <w:pPr>
              <w:widowControl/>
              <w:rPr>
                <w:rFonts w:ascii="宋体" w:hAnsi="宋体" w:eastAsia="宋体" w:cs="宋体"/>
                <w:color w:val="000000"/>
                <w:kern w:val="0"/>
                <w:sz w:val="24"/>
                <w:highlight w:val="yellow"/>
              </w:rPr>
            </w:pPr>
            <w:r>
              <w:rPr>
                <w:rFonts w:hint="eastAsia" w:ascii="宋体" w:hAnsi="宋体" w:eastAsia="宋体" w:cs="宋体"/>
                <w:color w:val="000000"/>
                <w:kern w:val="0"/>
                <w:sz w:val="24"/>
                <w:highlight w:val="yellow"/>
              </w:rPr>
              <w:t>J38-0139 新华 选位阀 外购品牌易发生牙椅倒灌，科室原牙椅为新华</w:t>
            </w:r>
          </w:p>
        </w:tc>
      </w:tr>
      <w:tr w14:paraId="37B48087">
        <w:tblPrEx>
          <w:tblCellMar>
            <w:top w:w="0" w:type="dxa"/>
            <w:left w:w="108" w:type="dxa"/>
            <w:bottom w:w="0" w:type="dxa"/>
            <w:right w:w="108" w:type="dxa"/>
          </w:tblCellMar>
        </w:tblPrEx>
        <w:trPr>
          <w:trHeight w:val="780" w:hRule="atLeast"/>
        </w:trPr>
        <w:tc>
          <w:tcPr>
            <w:tcW w:w="1150" w:type="pct"/>
            <w:tcBorders>
              <w:top w:val="single" w:color="000000" w:sz="4" w:space="0"/>
              <w:left w:val="single" w:color="000000" w:sz="4" w:space="0"/>
              <w:bottom w:val="single" w:color="000000" w:sz="4" w:space="0"/>
              <w:right w:val="single" w:color="000000" w:sz="4" w:space="0"/>
            </w:tcBorders>
            <w:noWrap/>
            <w:vAlign w:val="center"/>
          </w:tcPr>
          <w:p w14:paraId="2D03E462">
            <w:pPr>
              <w:widowControl/>
              <w:jc w:val="center"/>
              <w:rPr>
                <w:rFonts w:ascii="宋体" w:hAnsi="宋体" w:eastAsia="宋体" w:cs="宋体"/>
                <w:color w:val="000000"/>
                <w:sz w:val="24"/>
              </w:rPr>
            </w:pPr>
            <w:r>
              <w:rPr>
                <w:rFonts w:hint="eastAsia" w:ascii="宋体" w:hAnsi="宋体" w:eastAsia="宋体" w:cs="宋体"/>
                <w:color w:val="000000"/>
                <w:kern w:val="0"/>
                <w:sz w:val="24"/>
              </w:rPr>
              <w:t>牙科电动抽吸系统</w:t>
            </w:r>
          </w:p>
        </w:tc>
        <w:tc>
          <w:tcPr>
            <w:tcW w:w="852" w:type="pct"/>
            <w:tcBorders>
              <w:top w:val="single" w:color="000000" w:sz="4" w:space="0"/>
              <w:left w:val="single" w:color="000000" w:sz="4" w:space="0"/>
              <w:bottom w:val="single" w:color="000000" w:sz="4" w:space="0"/>
              <w:right w:val="single" w:color="000000" w:sz="4" w:space="0"/>
            </w:tcBorders>
            <w:noWrap/>
            <w:vAlign w:val="center"/>
          </w:tcPr>
          <w:p w14:paraId="4E8C5AE4">
            <w:pPr>
              <w:widowControl/>
              <w:jc w:val="center"/>
              <w:rPr>
                <w:rFonts w:ascii="宋体" w:hAnsi="宋体" w:eastAsia="宋体" w:cs="宋体"/>
                <w:color w:val="000000"/>
                <w:sz w:val="24"/>
              </w:rPr>
            </w:pPr>
            <w:r>
              <w:rPr>
                <w:rFonts w:hint="eastAsia" w:ascii="宋体" w:hAnsi="宋体" w:eastAsia="宋体" w:cs="宋体"/>
                <w:color w:val="000000"/>
                <w:kern w:val="0"/>
                <w:sz w:val="24"/>
              </w:rPr>
              <w:t>/</w:t>
            </w:r>
          </w:p>
        </w:tc>
        <w:tc>
          <w:tcPr>
            <w:tcW w:w="852" w:type="pct"/>
            <w:tcBorders>
              <w:top w:val="single" w:color="000000" w:sz="4" w:space="0"/>
              <w:left w:val="single" w:color="000000" w:sz="4" w:space="0"/>
              <w:bottom w:val="single" w:color="000000" w:sz="4" w:space="0"/>
              <w:right w:val="single" w:color="000000" w:sz="4" w:space="0"/>
            </w:tcBorders>
            <w:noWrap/>
            <w:vAlign w:val="center"/>
          </w:tcPr>
          <w:p w14:paraId="16517A70">
            <w:pPr>
              <w:widowControl/>
              <w:jc w:val="center"/>
              <w:rPr>
                <w:rFonts w:ascii="宋体" w:hAnsi="宋体" w:eastAsia="宋体" w:cs="宋体"/>
                <w:color w:val="000000"/>
                <w:sz w:val="24"/>
              </w:rPr>
            </w:pPr>
            <w:r>
              <w:rPr>
                <w:rFonts w:hint="eastAsia" w:ascii="宋体" w:hAnsi="宋体" w:eastAsia="宋体" w:cs="宋体"/>
                <w:color w:val="000000"/>
                <w:kern w:val="0"/>
                <w:sz w:val="24"/>
              </w:rPr>
              <w:t>1套</w:t>
            </w:r>
          </w:p>
        </w:tc>
        <w:tc>
          <w:tcPr>
            <w:tcW w:w="2144" w:type="pct"/>
            <w:tcBorders>
              <w:top w:val="single" w:color="000000" w:sz="4" w:space="0"/>
              <w:left w:val="single" w:color="000000" w:sz="4" w:space="0"/>
              <w:bottom w:val="single" w:color="000000" w:sz="4" w:space="0"/>
              <w:right w:val="single" w:color="000000" w:sz="4" w:space="0"/>
            </w:tcBorders>
            <w:noWrap w:val="0"/>
            <w:vAlign w:val="top"/>
          </w:tcPr>
          <w:p w14:paraId="615ABDE0">
            <w:pPr>
              <w:widowControl/>
              <w:jc w:val="center"/>
              <w:rPr>
                <w:rFonts w:ascii="宋体" w:hAnsi="宋体" w:eastAsia="宋体" w:cs="宋体"/>
                <w:color w:val="000000"/>
                <w:kern w:val="0"/>
                <w:sz w:val="24"/>
              </w:rPr>
            </w:pPr>
          </w:p>
        </w:tc>
      </w:tr>
      <w:tr w14:paraId="6ADC3DFF">
        <w:tblPrEx>
          <w:tblCellMar>
            <w:top w:w="0" w:type="dxa"/>
            <w:left w:w="108" w:type="dxa"/>
            <w:bottom w:w="0" w:type="dxa"/>
            <w:right w:w="108" w:type="dxa"/>
          </w:tblCellMar>
        </w:tblPrEx>
        <w:trPr>
          <w:trHeight w:val="780" w:hRule="atLeast"/>
        </w:trPr>
        <w:tc>
          <w:tcPr>
            <w:tcW w:w="1150" w:type="pct"/>
            <w:tcBorders>
              <w:top w:val="single" w:color="000000" w:sz="4" w:space="0"/>
              <w:left w:val="single" w:color="000000" w:sz="4" w:space="0"/>
              <w:bottom w:val="single" w:color="000000" w:sz="4" w:space="0"/>
              <w:right w:val="single" w:color="000000" w:sz="4" w:space="0"/>
            </w:tcBorders>
            <w:noWrap/>
            <w:vAlign w:val="center"/>
          </w:tcPr>
          <w:p w14:paraId="7E37FA7C">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管道</w:t>
            </w:r>
            <w:r>
              <w:rPr>
                <w:rFonts w:ascii="宋体" w:hAnsi="宋体" w:eastAsia="宋体" w:cs="宋体"/>
                <w:color w:val="000000"/>
                <w:kern w:val="0"/>
                <w:sz w:val="24"/>
              </w:rPr>
              <w:t>施工</w:t>
            </w:r>
          </w:p>
        </w:tc>
        <w:tc>
          <w:tcPr>
            <w:tcW w:w="1705" w:type="pct"/>
            <w:gridSpan w:val="2"/>
            <w:tcBorders>
              <w:top w:val="single" w:color="000000" w:sz="4" w:space="0"/>
              <w:left w:val="single" w:color="000000" w:sz="4" w:space="0"/>
              <w:bottom w:val="single" w:color="000000" w:sz="4" w:space="0"/>
              <w:right w:val="single" w:color="000000" w:sz="4" w:space="0"/>
            </w:tcBorders>
            <w:noWrap/>
            <w:vAlign w:val="center"/>
          </w:tcPr>
          <w:p w14:paraId="26B8DB94">
            <w:pPr>
              <w:widowControl/>
              <w:rPr>
                <w:rFonts w:ascii="宋体" w:hAnsi="宋体" w:eastAsia="宋体" w:cs="宋体"/>
                <w:color w:val="000000"/>
                <w:kern w:val="0"/>
                <w:sz w:val="24"/>
              </w:rPr>
            </w:pPr>
            <w:r>
              <w:rPr>
                <w:rFonts w:hint="eastAsia" w:ascii="宋体" w:hAnsi="宋体" w:eastAsia="宋体" w:cs="宋体"/>
                <w:color w:val="000000"/>
                <w:kern w:val="0"/>
                <w:sz w:val="24"/>
              </w:rPr>
              <w:t>管道、</w:t>
            </w:r>
            <w:r>
              <w:rPr>
                <w:rFonts w:ascii="宋体" w:hAnsi="宋体" w:eastAsia="宋体" w:cs="宋体"/>
                <w:color w:val="000000"/>
                <w:kern w:val="0"/>
                <w:sz w:val="24"/>
              </w:rPr>
              <w:t>打孔</w:t>
            </w:r>
            <w:r>
              <w:rPr>
                <w:rFonts w:hint="eastAsia" w:ascii="宋体" w:hAnsi="宋体" w:eastAsia="宋体" w:cs="宋体"/>
                <w:color w:val="000000"/>
                <w:kern w:val="0"/>
                <w:sz w:val="24"/>
              </w:rPr>
              <w:t>、</w:t>
            </w:r>
            <w:r>
              <w:rPr>
                <w:rFonts w:ascii="宋体" w:hAnsi="宋体" w:eastAsia="宋体" w:cs="宋体"/>
                <w:color w:val="000000"/>
                <w:kern w:val="0"/>
                <w:sz w:val="24"/>
              </w:rPr>
              <w:t>防水</w:t>
            </w:r>
            <w:r>
              <w:rPr>
                <w:rFonts w:hint="eastAsia" w:ascii="宋体" w:hAnsi="宋体" w:eastAsia="宋体" w:cs="宋体"/>
                <w:color w:val="000000"/>
                <w:kern w:val="0"/>
                <w:sz w:val="24"/>
              </w:rPr>
              <w:t>、</w:t>
            </w:r>
            <w:r>
              <w:rPr>
                <w:rFonts w:ascii="宋体" w:hAnsi="宋体" w:eastAsia="宋体" w:cs="宋体"/>
                <w:color w:val="000000"/>
                <w:kern w:val="0"/>
                <w:sz w:val="24"/>
              </w:rPr>
              <w:t>做隔间</w:t>
            </w:r>
            <w:r>
              <w:rPr>
                <w:rFonts w:hint="eastAsia" w:ascii="宋体" w:hAnsi="宋体" w:eastAsia="宋体" w:cs="宋体"/>
                <w:color w:val="000000"/>
                <w:kern w:val="0"/>
                <w:sz w:val="24"/>
              </w:rPr>
              <w:t>、换气扇</w:t>
            </w:r>
          </w:p>
        </w:tc>
        <w:tc>
          <w:tcPr>
            <w:tcW w:w="2144" w:type="pct"/>
            <w:tcBorders>
              <w:top w:val="single" w:color="000000" w:sz="4" w:space="0"/>
              <w:left w:val="single" w:color="000000" w:sz="4" w:space="0"/>
              <w:bottom w:val="single" w:color="000000" w:sz="4" w:space="0"/>
              <w:right w:val="single" w:color="000000" w:sz="4" w:space="0"/>
            </w:tcBorders>
            <w:noWrap w:val="0"/>
            <w:vAlign w:val="top"/>
          </w:tcPr>
          <w:p w14:paraId="45F38880">
            <w:pPr>
              <w:widowControl/>
              <w:rPr>
                <w:rFonts w:ascii="宋体" w:hAnsi="宋体" w:eastAsia="宋体" w:cs="宋体"/>
                <w:color w:val="000000"/>
                <w:kern w:val="0"/>
                <w:sz w:val="24"/>
              </w:rPr>
            </w:pPr>
            <w:r>
              <w:rPr>
                <w:rFonts w:hint="eastAsia" w:ascii="宋体" w:hAnsi="宋体" w:eastAsia="宋体" w:cs="宋体"/>
                <w:color w:val="000000"/>
                <w:kern w:val="0"/>
                <w:sz w:val="24"/>
              </w:rPr>
              <w:t>50PVC管道210米；地面开孔32个；50pvc管道与主下水管对接；防水处理32个孔道周边地面；换气扇1台；隔断一间15个平方左右；改动之前的空压机系统格局位置。</w:t>
            </w:r>
          </w:p>
        </w:tc>
      </w:tr>
    </w:tbl>
    <w:p w14:paraId="39EA1406">
      <w:pPr>
        <w:rPr>
          <w:rFonts w:hint="eastAsia"/>
          <w:sz w:val="24"/>
          <w:szCs w:val="24"/>
          <w:lang w:val="en-US" w:eastAsia="zh-CN"/>
        </w:rPr>
      </w:pPr>
    </w:p>
    <w:p w14:paraId="0CBF9DCE">
      <w:pPr>
        <w:jc w:val="center"/>
        <w:rPr>
          <w:rStyle w:val="6"/>
          <w:rFonts w:hint="eastAsia"/>
          <w:sz w:val="30"/>
          <w:szCs w:val="30"/>
          <w:lang w:val="en-US" w:eastAsia="zh-CN"/>
        </w:rPr>
      </w:pPr>
      <w:r>
        <w:rPr>
          <w:rFonts w:hint="eastAsia" w:ascii="Times New Roman" w:hAnsi="Times New Roman" w:eastAsia="宋体" w:cs="Times New Roman"/>
          <w:b/>
          <w:bCs/>
          <w:kern w:val="44"/>
          <w:sz w:val="28"/>
          <w:szCs w:val="28"/>
          <w:lang w:val="en-US" w:eastAsia="zh-CN" w:bidi="ar-SA"/>
        </w:rPr>
        <w:t>二、</w:t>
      </w:r>
      <w:r>
        <w:rPr>
          <w:rStyle w:val="6"/>
          <w:rFonts w:hint="eastAsia"/>
          <w:sz w:val="30"/>
          <w:szCs w:val="30"/>
          <w:lang w:val="en-US" w:eastAsia="zh-CN"/>
        </w:rPr>
        <w:t>商务要求</w:t>
      </w:r>
    </w:p>
    <w:p w14:paraId="123A8EDB">
      <w:pPr>
        <w:jc w:val="center"/>
        <w:rPr>
          <w:sz w:val="30"/>
          <w:szCs w:val="30"/>
        </w:rPr>
      </w:pPr>
      <w:r>
        <w:rPr>
          <w:rFonts w:hint="eastAsia"/>
          <w:sz w:val="30"/>
          <w:szCs w:val="30"/>
        </w:rPr>
        <w:t>（本项目商务要求为不允许负偏离的实质性要求和条件）</w:t>
      </w:r>
    </w:p>
    <w:p w14:paraId="34373DFA">
      <w:pPr>
        <w:ind w:firstLine="450" w:firstLineChars="150"/>
        <w:rPr>
          <w:sz w:val="30"/>
          <w:szCs w:val="30"/>
        </w:rPr>
      </w:pPr>
      <w:r>
        <w:rPr>
          <w:rFonts w:hint="eastAsia"/>
          <w:sz w:val="30"/>
          <w:szCs w:val="30"/>
        </w:rPr>
        <w:t>1、所有货物（包括零部件）须为全新的、未使用过的原装正品。提交货物（含相关服务）的技术参数和配置应与</w:t>
      </w:r>
      <w:r>
        <w:rPr>
          <w:rFonts w:hint="eastAsia"/>
          <w:sz w:val="30"/>
          <w:szCs w:val="30"/>
          <w:lang w:eastAsia="zh-CN"/>
        </w:rPr>
        <w:t>比选文件</w:t>
      </w:r>
      <w:r>
        <w:rPr>
          <w:rFonts w:hint="eastAsia"/>
          <w:sz w:val="30"/>
          <w:szCs w:val="30"/>
        </w:rPr>
        <w:t>的要求及其</w:t>
      </w:r>
      <w:r>
        <w:rPr>
          <w:rFonts w:hint="eastAsia"/>
          <w:sz w:val="30"/>
          <w:szCs w:val="30"/>
          <w:lang w:eastAsia="zh-CN"/>
        </w:rPr>
        <w:t>响应文件</w:t>
      </w:r>
      <w:r>
        <w:rPr>
          <w:rFonts w:hint="eastAsia"/>
          <w:sz w:val="30"/>
          <w:szCs w:val="30"/>
        </w:rPr>
        <w:t>的技术要求（如果被</w:t>
      </w:r>
      <w:r>
        <w:rPr>
          <w:rFonts w:hint="eastAsia"/>
          <w:sz w:val="30"/>
          <w:szCs w:val="30"/>
          <w:lang w:eastAsia="zh-CN"/>
        </w:rPr>
        <w:t>评审小组</w:t>
      </w:r>
      <w:r>
        <w:rPr>
          <w:rFonts w:hint="eastAsia"/>
          <w:sz w:val="30"/>
          <w:szCs w:val="30"/>
        </w:rPr>
        <w:t>接受的话）相一致。若</w:t>
      </w:r>
      <w:r>
        <w:rPr>
          <w:rFonts w:hint="eastAsia"/>
          <w:sz w:val="30"/>
          <w:szCs w:val="30"/>
          <w:lang w:eastAsia="zh-CN"/>
        </w:rPr>
        <w:t>比选文件</w:t>
      </w:r>
      <w:r>
        <w:rPr>
          <w:rFonts w:hint="eastAsia"/>
          <w:sz w:val="30"/>
          <w:szCs w:val="30"/>
        </w:rPr>
        <w:t>及</w:t>
      </w:r>
      <w:r>
        <w:rPr>
          <w:rFonts w:hint="eastAsia"/>
          <w:sz w:val="30"/>
          <w:szCs w:val="30"/>
          <w:lang w:eastAsia="zh-CN"/>
        </w:rPr>
        <w:t>响应文件</w:t>
      </w:r>
      <w:r>
        <w:rPr>
          <w:rFonts w:hint="eastAsia"/>
          <w:sz w:val="30"/>
          <w:szCs w:val="30"/>
        </w:rPr>
        <w:t>中无相应说明，则以国家有关部门最新颁布的相应标准及规范为准。</w:t>
      </w:r>
    </w:p>
    <w:p w14:paraId="3DB68E86">
      <w:pPr>
        <w:ind w:left="0" w:leftChars="0" w:firstLine="416" w:firstLineChars="139"/>
        <w:rPr>
          <w:rFonts w:hint="eastAsia" w:ascii="Times New Roman" w:hAnsi="Times New Roman" w:eastAsia="宋体" w:cs="Times New Roman"/>
          <w:kern w:val="2"/>
          <w:sz w:val="30"/>
          <w:szCs w:val="30"/>
          <w:lang w:val="en-US" w:eastAsia="zh-CN" w:bidi="ar-SA"/>
        </w:rPr>
      </w:pPr>
      <w:r>
        <w:rPr>
          <w:rFonts w:hint="eastAsia" w:cs="Times New Roman"/>
          <w:sz w:val="30"/>
          <w:szCs w:val="30"/>
          <w:lang w:val="en-US" w:eastAsia="zh-CN"/>
        </w:rPr>
        <w:t>2</w:t>
      </w:r>
      <w:r>
        <w:rPr>
          <w:rFonts w:hint="eastAsia" w:ascii="Times New Roman" w:hAnsi="Times New Roman" w:eastAsia="宋体" w:cs="Times New Roman"/>
          <w:sz w:val="30"/>
          <w:szCs w:val="30"/>
          <w:lang w:eastAsia="zh-CN"/>
        </w:rPr>
        <w:t>、所有货物必须符合《医疗器械标准管理办法》等国家相关强制性要</w:t>
      </w:r>
      <w:r>
        <w:rPr>
          <w:rFonts w:hint="eastAsia" w:ascii="Times New Roman" w:hAnsi="Times New Roman" w:eastAsia="宋体" w:cs="Times New Roman"/>
          <w:kern w:val="2"/>
          <w:sz w:val="30"/>
          <w:szCs w:val="30"/>
          <w:lang w:val="en-US" w:eastAsia="zh-CN" w:bidi="ar-SA"/>
        </w:rPr>
        <w:t>求。</w:t>
      </w:r>
    </w:p>
    <w:p w14:paraId="1902294B">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cs="Times New Roman"/>
          <w:b/>
          <w:bCs/>
          <w:kern w:val="2"/>
          <w:sz w:val="30"/>
          <w:szCs w:val="30"/>
          <w:highlight w:val="yellow"/>
          <w:lang w:val="en-US" w:eastAsia="zh-CN" w:bidi="ar-SA"/>
        </w:rPr>
        <w:t>2</w:t>
      </w:r>
      <w:r>
        <w:rPr>
          <w:rFonts w:hint="eastAsia" w:ascii="Times New Roman" w:hAnsi="Times New Roman" w:eastAsia="宋体" w:cs="Times New Roman"/>
          <w:b/>
          <w:bCs/>
          <w:kern w:val="2"/>
          <w:sz w:val="30"/>
          <w:szCs w:val="30"/>
          <w:highlight w:val="yellow"/>
          <w:lang w:val="en-US" w:eastAsia="zh-CN" w:bidi="ar-SA"/>
        </w:rPr>
        <w:t>.1本项目的特定资格要求：（供应商须提供相应的证明材料，否则视为资格性审查不通过）</w:t>
      </w:r>
    </w:p>
    <w:p w14:paraId="0ACB21DD">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ascii="Times New Roman" w:hAnsi="Times New Roman" w:eastAsia="宋体" w:cs="Times New Roman"/>
          <w:b/>
          <w:bCs/>
          <w:kern w:val="2"/>
          <w:sz w:val="30"/>
          <w:szCs w:val="30"/>
          <w:highlight w:val="yellow"/>
          <w:lang w:val="en-US" w:eastAsia="zh-CN" w:bidi="ar-SA"/>
        </w:rPr>
        <w:t>（1）供应商若为生产企业：所报产品为第二、三类医疗器械的，提供涵盖所报医疗器械的《医疗器械生产许可证》。</w:t>
      </w:r>
    </w:p>
    <w:p w14:paraId="0CC4C571">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ascii="Times New Roman" w:hAnsi="Times New Roman" w:eastAsia="宋体" w:cs="Times New Roman"/>
          <w:b/>
          <w:bCs/>
          <w:kern w:val="2"/>
          <w:sz w:val="30"/>
          <w:szCs w:val="30"/>
          <w:highlight w:val="yellow"/>
          <w:lang w:val="en-US" w:eastAsia="zh-CN" w:bidi="ar-SA"/>
        </w:rPr>
        <w:t>（2）供应商若为经营企业：所报产品为第二类医疗器械的，提供涵盖所报医疗器械的《医疗器械经营备案凭证》；所报产品为第三类医疗器械的，提供涵盖所报医疗器械的《医疗器械经营许可证》。</w:t>
      </w:r>
    </w:p>
    <w:p w14:paraId="5E0E6508">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cs="Times New Roman"/>
          <w:b/>
          <w:bCs/>
          <w:kern w:val="2"/>
          <w:sz w:val="30"/>
          <w:szCs w:val="30"/>
          <w:highlight w:val="yellow"/>
          <w:lang w:val="en-US" w:eastAsia="zh-CN" w:bidi="ar-SA"/>
        </w:rPr>
        <w:t>2</w:t>
      </w:r>
      <w:r>
        <w:rPr>
          <w:rFonts w:hint="eastAsia" w:ascii="Times New Roman" w:hAnsi="Times New Roman" w:eastAsia="宋体" w:cs="Times New Roman"/>
          <w:b/>
          <w:bCs/>
          <w:kern w:val="2"/>
          <w:sz w:val="30"/>
          <w:szCs w:val="30"/>
          <w:highlight w:val="yellow"/>
          <w:lang w:val="en-US" w:eastAsia="zh-CN" w:bidi="ar-SA"/>
        </w:rPr>
        <w:t>.2供应商所报牙科电动抽吸系统的医疗器械注册证复印件（在有效期内）或【第一类医疗器械备案凭证扫描件和第一类医疗器械备案信息证明材料扫描件】。</w:t>
      </w:r>
    </w:p>
    <w:p w14:paraId="2A370ECA">
      <w:pPr>
        <w:ind w:firstLine="450" w:firstLineChars="150"/>
        <w:rPr>
          <w:sz w:val="30"/>
          <w:szCs w:val="30"/>
        </w:rPr>
      </w:pPr>
      <w:r>
        <w:rPr>
          <w:rFonts w:hint="eastAsia"/>
          <w:sz w:val="30"/>
          <w:szCs w:val="30"/>
        </w:rPr>
        <w:t>3、技术支持</w:t>
      </w:r>
    </w:p>
    <w:p w14:paraId="0906E096">
      <w:pPr>
        <w:ind w:firstLine="450" w:firstLineChars="150"/>
        <w:rPr>
          <w:sz w:val="30"/>
          <w:szCs w:val="30"/>
        </w:rPr>
      </w:pPr>
      <w:r>
        <w:rPr>
          <w:rFonts w:hint="eastAsia"/>
          <w:sz w:val="30"/>
          <w:szCs w:val="30"/>
        </w:rPr>
        <w:t>3.1</w:t>
      </w:r>
      <w:r>
        <w:rPr>
          <w:rFonts w:hint="eastAsia"/>
          <w:sz w:val="30"/>
          <w:szCs w:val="30"/>
          <w:lang w:eastAsia="zh-CN"/>
        </w:rPr>
        <w:t>成交供应商</w:t>
      </w:r>
      <w:r>
        <w:rPr>
          <w:rFonts w:hint="eastAsia"/>
          <w:sz w:val="30"/>
          <w:szCs w:val="30"/>
        </w:rPr>
        <w:t>应向</w:t>
      </w:r>
      <w:r>
        <w:rPr>
          <w:rFonts w:hint="eastAsia"/>
          <w:sz w:val="30"/>
          <w:szCs w:val="30"/>
          <w:lang w:eastAsia="zh-CN"/>
        </w:rPr>
        <w:t>采购人</w:t>
      </w:r>
      <w:r>
        <w:rPr>
          <w:rFonts w:hint="eastAsia"/>
          <w:sz w:val="30"/>
          <w:szCs w:val="30"/>
        </w:rPr>
        <w:t>提供全方位及时而有效的技术支持和服务。</w:t>
      </w:r>
    </w:p>
    <w:p w14:paraId="55688D7F">
      <w:pPr>
        <w:ind w:firstLine="450" w:firstLineChars="150"/>
        <w:rPr>
          <w:sz w:val="30"/>
          <w:szCs w:val="30"/>
        </w:rPr>
      </w:pPr>
      <w:r>
        <w:rPr>
          <w:rFonts w:hint="eastAsia"/>
          <w:sz w:val="30"/>
          <w:szCs w:val="30"/>
        </w:rPr>
        <w:t>3.2</w:t>
      </w:r>
      <w:r>
        <w:rPr>
          <w:rFonts w:hint="eastAsia"/>
          <w:sz w:val="30"/>
          <w:szCs w:val="30"/>
          <w:lang w:eastAsia="zh-CN"/>
        </w:rPr>
        <w:t>成交供应商</w:t>
      </w:r>
      <w:r>
        <w:rPr>
          <w:rFonts w:hint="eastAsia"/>
          <w:sz w:val="30"/>
          <w:szCs w:val="30"/>
        </w:rPr>
        <w:t>负责供货、运输并安装调试完毕。</w:t>
      </w:r>
    </w:p>
    <w:p w14:paraId="1B14AB04">
      <w:pPr>
        <w:ind w:firstLine="450" w:firstLineChars="150"/>
        <w:rPr>
          <w:sz w:val="30"/>
          <w:szCs w:val="30"/>
        </w:rPr>
      </w:pPr>
      <w:r>
        <w:rPr>
          <w:rFonts w:hint="eastAsia"/>
          <w:sz w:val="30"/>
          <w:szCs w:val="30"/>
        </w:rPr>
        <w:t>4、质保及售后服务：</w:t>
      </w:r>
    </w:p>
    <w:p w14:paraId="1C0073F1">
      <w:pPr>
        <w:ind w:firstLine="450" w:firstLineChars="150"/>
        <w:rPr>
          <w:sz w:val="30"/>
          <w:szCs w:val="30"/>
        </w:rPr>
      </w:pPr>
      <w:r>
        <w:rPr>
          <w:rFonts w:hint="eastAsia"/>
          <w:sz w:val="30"/>
          <w:szCs w:val="30"/>
        </w:rPr>
        <w:t>4.1</w:t>
      </w:r>
      <w:r>
        <w:rPr>
          <w:rFonts w:hint="eastAsia"/>
          <w:sz w:val="30"/>
          <w:szCs w:val="30"/>
          <w:highlight w:val="yellow"/>
          <w:lang w:val="en-US" w:eastAsia="zh-CN"/>
        </w:rPr>
        <w:t>成交供应商为本项目</w:t>
      </w:r>
      <w:r>
        <w:rPr>
          <w:rFonts w:hint="eastAsia"/>
          <w:sz w:val="30"/>
          <w:szCs w:val="30"/>
          <w:highlight w:val="yellow"/>
        </w:rPr>
        <w:t>须提供</w:t>
      </w:r>
      <w:r>
        <w:rPr>
          <w:rFonts w:hint="eastAsia"/>
          <w:sz w:val="30"/>
          <w:szCs w:val="30"/>
          <w:highlight w:val="yellow"/>
          <w:lang w:val="en-US" w:eastAsia="zh-CN"/>
        </w:rPr>
        <w:t>1</w:t>
      </w:r>
      <w:r>
        <w:rPr>
          <w:rFonts w:hint="eastAsia"/>
          <w:sz w:val="30"/>
          <w:szCs w:val="30"/>
          <w:highlight w:val="yellow"/>
        </w:rPr>
        <w:t>年及以上的质保服务，费用均已包含在</w:t>
      </w:r>
      <w:r>
        <w:rPr>
          <w:rFonts w:hint="eastAsia"/>
          <w:sz w:val="30"/>
          <w:szCs w:val="30"/>
          <w:highlight w:val="yellow"/>
          <w:lang w:eastAsia="zh-CN"/>
        </w:rPr>
        <w:t>总报价</w:t>
      </w:r>
      <w:r>
        <w:rPr>
          <w:rFonts w:hint="eastAsia"/>
          <w:sz w:val="30"/>
          <w:szCs w:val="30"/>
          <w:highlight w:val="yellow"/>
        </w:rPr>
        <w:t>中。</w:t>
      </w:r>
      <w:r>
        <w:rPr>
          <w:rFonts w:hint="eastAsia"/>
          <w:sz w:val="30"/>
          <w:szCs w:val="30"/>
          <w:lang w:eastAsia="zh-CN"/>
        </w:rPr>
        <w:t>质保期</w:t>
      </w:r>
      <w:r>
        <w:rPr>
          <w:rFonts w:hint="eastAsia"/>
          <w:sz w:val="30"/>
          <w:szCs w:val="30"/>
        </w:rPr>
        <w:t>满后，应提供优先的有偿售后服务及按不高于</w:t>
      </w:r>
      <w:r>
        <w:rPr>
          <w:rFonts w:hint="eastAsia"/>
          <w:sz w:val="30"/>
          <w:szCs w:val="30"/>
          <w:lang w:eastAsia="zh-CN"/>
        </w:rPr>
        <w:t>响应文件</w:t>
      </w:r>
      <w:r>
        <w:rPr>
          <w:rFonts w:hint="eastAsia"/>
          <w:sz w:val="30"/>
          <w:szCs w:val="30"/>
        </w:rPr>
        <w:t>中主要配件、易损件清单所报价格供应原厂零配件等。软件终身免费升级、免费使用。</w:t>
      </w:r>
    </w:p>
    <w:p w14:paraId="725CB990">
      <w:pPr>
        <w:ind w:firstLine="450" w:firstLineChars="150"/>
        <w:rPr>
          <w:sz w:val="30"/>
          <w:szCs w:val="30"/>
        </w:rPr>
      </w:pPr>
      <w:r>
        <w:rPr>
          <w:rFonts w:hint="eastAsia"/>
          <w:sz w:val="30"/>
          <w:szCs w:val="30"/>
        </w:rPr>
        <w:t>4.2</w:t>
      </w:r>
      <w:r>
        <w:rPr>
          <w:rFonts w:hint="eastAsia"/>
          <w:sz w:val="30"/>
          <w:szCs w:val="30"/>
          <w:lang w:eastAsia="zh-CN"/>
        </w:rPr>
        <w:t>成交供应商</w:t>
      </w:r>
      <w:r>
        <w:rPr>
          <w:rFonts w:hint="eastAsia"/>
          <w:sz w:val="30"/>
          <w:szCs w:val="30"/>
        </w:rPr>
        <w:t>须设有维修服务电话，负责解答用户在货物使用中遇到的问题，及时提出解决问题的建议和操作方法。</w:t>
      </w:r>
    </w:p>
    <w:p w14:paraId="32C8CBC4">
      <w:pPr>
        <w:ind w:firstLine="450" w:firstLineChars="150"/>
        <w:rPr>
          <w:sz w:val="30"/>
          <w:szCs w:val="30"/>
        </w:rPr>
      </w:pPr>
      <w:r>
        <w:rPr>
          <w:rFonts w:hint="eastAsia"/>
          <w:sz w:val="30"/>
          <w:szCs w:val="30"/>
        </w:rPr>
        <w:t>4.3售后服务响应时间：如货物出现质量问题，</w:t>
      </w:r>
      <w:r>
        <w:rPr>
          <w:rFonts w:hint="eastAsia"/>
          <w:sz w:val="30"/>
          <w:szCs w:val="30"/>
          <w:lang w:eastAsia="zh-CN"/>
        </w:rPr>
        <w:t>成交供应商</w:t>
      </w:r>
      <w:r>
        <w:rPr>
          <w:rFonts w:hint="eastAsia"/>
          <w:sz w:val="30"/>
          <w:szCs w:val="30"/>
        </w:rPr>
        <w:t>须2小时内响应</w:t>
      </w:r>
      <w:r>
        <w:rPr>
          <w:rFonts w:hint="eastAsia"/>
          <w:sz w:val="30"/>
          <w:szCs w:val="30"/>
          <w:lang w:eastAsia="zh-CN"/>
        </w:rPr>
        <w:t>，</w:t>
      </w:r>
      <w:r>
        <w:rPr>
          <w:rFonts w:hint="eastAsia"/>
          <w:sz w:val="30"/>
          <w:szCs w:val="30"/>
        </w:rPr>
        <w:t>电话响应无法解决，</w:t>
      </w:r>
      <w:r>
        <w:rPr>
          <w:rFonts w:hint="eastAsia"/>
          <w:sz w:val="30"/>
          <w:szCs w:val="30"/>
          <w:lang w:eastAsia="zh-CN"/>
        </w:rPr>
        <w:t>成交供应商</w:t>
      </w:r>
      <w:r>
        <w:rPr>
          <w:rFonts w:hint="eastAsia"/>
          <w:sz w:val="30"/>
          <w:szCs w:val="30"/>
        </w:rPr>
        <w:t>必须在接报修电话24小时内到达现场</w:t>
      </w:r>
      <w:r>
        <w:rPr>
          <w:rFonts w:hint="eastAsia"/>
          <w:sz w:val="30"/>
          <w:szCs w:val="30"/>
          <w:lang w:eastAsia="zh-CN"/>
        </w:rPr>
        <w:t>，</w:t>
      </w:r>
      <w:r>
        <w:rPr>
          <w:rFonts w:hint="eastAsia"/>
          <w:sz w:val="30"/>
          <w:szCs w:val="30"/>
        </w:rPr>
        <w:t>48小时内解决问题。如不能解决的，</w:t>
      </w:r>
      <w:r>
        <w:rPr>
          <w:rFonts w:hint="eastAsia"/>
          <w:sz w:val="30"/>
          <w:szCs w:val="30"/>
          <w:lang w:eastAsia="zh-CN"/>
        </w:rPr>
        <w:t>成交供应商</w:t>
      </w:r>
      <w:r>
        <w:rPr>
          <w:rFonts w:hint="eastAsia"/>
          <w:sz w:val="30"/>
          <w:szCs w:val="30"/>
        </w:rPr>
        <w:t>需免费提供备品备件供</w:t>
      </w:r>
      <w:r>
        <w:rPr>
          <w:rFonts w:hint="eastAsia"/>
          <w:sz w:val="30"/>
          <w:szCs w:val="30"/>
          <w:lang w:eastAsia="zh-CN"/>
        </w:rPr>
        <w:t>采购人</w:t>
      </w:r>
      <w:r>
        <w:rPr>
          <w:rFonts w:hint="eastAsia"/>
          <w:sz w:val="30"/>
          <w:szCs w:val="30"/>
        </w:rPr>
        <w:t>使用。</w:t>
      </w:r>
      <w:r>
        <w:rPr>
          <w:rFonts w:hint="eastAsia"/>
          <w:sz w:val="30"/>
          <w:szCs w:val="30"/>
          <w:lang w:eastAsia="zh-CN"/>
        </w:rPr>
        <w:t>质保期</w:t>
      </w:r>
      <w:r>
        <w:rPr>
          <w:rFonts w:hint="eastAsia"/>
          <w:sz w:val="30"/>
          <w:szCs w:val="30"/>
        </w:rPr>
        <w:t>内如货物出现质量问题，</w:t>
      </w:r>
      <w:r>
        <w:rPr>
          <w:rFonts w:hint="eastAsia"/>
          <w:sz w:val="30"/>
          <w:szCs w:val="30"/>
          <w:lang w:eastAsia="zh-CN"/>
        </w:rPr>
        <w:t>成交供应商</w:t>
      </w:r>
      <w:r>
        <w:rPr>
          <w:rFonts w:hint="eastAsia"/>
          <w:sz w:val="30"/>
          <w:szCs w:val="30"/>
        </w:rPr>
        <w:t>负责免费修复，对于无法修复的情况，</w:t>
      </w:r>
      <w:r>
        <w:rPr>
          <w:rFonts w:hint="eastAsia"/>
          <w:sz w:val="30"/>
          <w:szCs w:val="30"/>
          <w:lang w:eastAsia="zh-CN"/>
        </w:rPr>
        <w:t>成交供应商</w:t>
      </w:r>
      <w:r>
        <w:rPr>
          <w:rFonts w:hint="eastAsia"/>
          <w:sz w:val="30"/>
          <w:szCs w:val="30"/>
        </w:rPr>
        <w:t>负责免费更换。</w:t>
      </w:r>
    </w:p>
    <w:p w14:paraId="56910428">
      <w:pPr>
        <w:ind w:firstLine="450" w:firstLineChars="150"/>
        <w:rPr>
          <w:sz w:val="30"/>
          <w:szCs w:val="30"/>
        </w:rPr>
      </w:pPr>
      <w:r>
        <w:rPr>
          <w:rFonts w:hint="eastAsia"/>
          <w:sz w:val="30"/>
          <w:szCs w:val="30"/>
        </w:rPr>
        <w:t>5、培训：</w:t>
      </w:r>
    </w:p>
    <w:p w14:paraId="0EF33EF1">
      <w:pPr>
        <w:ind w:firstLine="450" w:firstLineChars="150"/>
        <w:rPr>
          <w:sz w:val="30"/>
          <w:szCs w:val="30"/>
        </w:rPr>
      </w:pPr>
      <w:r>
        <w:rPr>
          <w:rFonts w:hint="eastAsia"/>
          <w:sz w:val="30"/>
          <w:szCs w:val="30"/>
        </w:rPr>
        <w:t>5.1</w:t>
      </w:r>
      <w:r>
        <w:rPr>
          <w:rFonts w:hint="eastAsia"/>
          <w:sz w:val="30"/>
          <w:szCs w:val="30"/>
          <w:lang w:eastAsia="zh-CN"/>
        </w:rPr>
        <w:t>成交供应商</w:t>
      </w:r>
      <w:r>
        <w:rPr>
          <w:rFonts w:hint="eastAsia"/>
          <w:sz w:val="30"/>
          <w:szCs w:val="30"/>
        </w:rPr>
        <w:t>应对</w:t>
      </w:r>
      <w:r>
        <w:rPr>
          <w:rFonts w:hint="eastAsia"/>
          <w:sz w:val="30"/>
          <w:szCs w:val="30"/>
          <w:lang w:eastAsia="zh-CN"/>
        </w:rPr>
        <w:t>采购人</w:t>
      </w:r>
      <w:r>
        <w:rPr>
          <w:rFonts w:hint="eastAsia"/>
          <w:sz w:val="30"/>
          <w:szCs w:val="30"/>
        </w:rPr>
        <w:t>的操作人员提供现场培训。</w:t>
      </w:r>
    </w:p>
    <w:p w14:paraId="79878E72">
      <w:pPr>
        <w:ind w:firstLine="450" w:firstLineChars="150"/>
        <w:rPr>
          <w:sz w:val="30"/>
          <w:szCs w:val="30"/>
        </w:rPr>
      </w:pPr>
      <w:r>
        <w:rPr>
          <w:rFonts w:hint="eastAsia"/>
          <w:sz w:val="30"/>
          <w:szCs w:val="30"/>
        </w:rPr>
        <w:t>5.2现场培训能够根据</w:t>
      </w:r>
      <w:r>
        <w:rPr>
          <w:rFonts w:hint="eastAsia"/>
          <w:sz w:val="30"/>
          <w:szCs w:val="30"/>
          <w:lang w:eastAsia="zh-CN"/>
        </w:rPr>
        <w:t>采购人</w:t>
      </w:r>
      <w:r>
        <w:rPr>
          <w:rFonts w:hint="eastAsia"/>
          <w:sz w:val="30"/>
          <w:szCs w:val="30"/>
        </w:rPr>
        <w:t>需要，合理安排，使</w:t>
      </w:r>
      <w:r>
        <w:rPr>
          <w:rFonts w:hint="eastAsia"/>
          <w:sz w:val="30"/>
          <w:szCs w:val="30"/>
          <w:lang w:eastAsia="zh-CN"/>
        </w:rPr>
        <w:t>采购人</w:t>
      </w:r>
      <w:r>
        <w:rPr>
          <w:rFonts w:hint="eastAsia"/>
          <w:sz w:val="30"/>
          <w:szCs w:val="30"/>
        </w:rPr>
        <w:t>能够全面掌握设备的工作原理，熟练独立操作设备，并能够对设备进行日常维护与保养，简单故障诊断与排除。</w:t>
      </w:r>
    </w:p>
    <w:p w14:paraId="09E31687">
      <w:pPr>
        <w:ind w:firstLine="450" w:firstLineChars="150"/>
        <w:rPr>
          <w:sz w:val="30"/>
          <w:szCs w:val="30"/>
        </w:rPr>
      </w:pPr>
      <w:r>
        <w:rPr>
          <w:rFonts w:hint="eastAsia"/>
          <w:sz w:val="30"/>
          <w:szCs w:val="30"/>
        </w:rPr>
        <w:t>5.3培训费用包含在</w:t>
      </w:r>
      <w:r>
        <w:rPr>
          <w:rFonts w:hint="eastAsia"/>
          <w:sz w:val="30"/>
          <w:szCs w:val="30"/>
          <w:lang w:eastAsia="zh-CN"/>
        </w:rPr>
        <w:t>总报价</w:t>
      </w:r>
      <w:r>
        <w:rPr>
          <w:rFonts w:hint="eastAsia"/>
          <w:sz w:val="30"/>
          <w:szCs w:val="30"/>
        </w:rPr>
        <w:t>中。</w:t>
      </w:r>
    </w:p>
    <w:p w14:paraId="42B5A9B2">
      <w:pPr>
        <w:ind w:firstLine="452" w:firstLineChars="150"/>
        <w:rPr>
          <w:b/>
          <w:bCs/>
          <w:sz w:val="30"/>
          <w:szCs w:val="30"/>
        </w:rPr>
      </w:pPr>
      <w:r>
        <w:rPr>
          <w:rFonts w:hint="eastAsia"/>
          <w:b/>
          <w:bCs/>
          <w:sz w:val="30"/>
          <w:szCs w:val="30"/>
        </w:rPr>
        <w:t>6、供货期：自合同签订之日起</w:t>
      </w:r>
      <w:r>
        <w:rPr>
          <w:rFonts w:hint="eastAsia"/>
          <w:b/>
          <w:bCs/>
          <w:sz w:val="30"/>
          <w:szCs w:val="30"/>
          <w:lang w:val="en-US" w:eastAsia="zh-CN"/>
        </w:rPr>
        <w:t>20</w:t>
      </w:r>
      <w:r>
        <w:rPr>
          <w:rFonts w:hint="eastAsia"/>
          <w:b/>
          <w:bCs/>
          <w:sz w:val="30"/>
          <w:szCs w:val="30"/>
        </w:rPr>
        <w:t>日内供货并安装调试完毕。</w:t>
      </w:r>
    </w:p>
    <w:p w14:paraId="58E92C38">
      <w:pPr>
        <w:ind w:firstLine="450" w:firstLineChars="150"/>
        <w:rPr>
          <w:sz w:val="30"/>
          <w:szCs w:val="30"/>
        </w:rPr>
      </w:pPr>
      <w:r>
        <w:rPr>
          <w:rFonts w:hint="eastAsia"/>
          <w:sz w:val="30"/>
          <w:szCs w:val="30"/>
        </w:rPr>
        <w:t>7、供货与安装地点：马鞍山市人民医院。</w:t>
      </w:r>
    </w:p>
    <w:p w14:paraId="7A010A63">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14:paraId="5952629E">
      <w:pPr>
        <w:ind w:firstLine="450" w:firstLineChars="150"/>
        <w:rPr>
          <w:sz w:val="30"/>
          <w:szCs w:val="30"/>
        </w:rPr>
      </w:pPr>
      <w:r>
        <w:rPr>
          <w:rFonts w:hint="eastAsia"/>
          <w:sz w:val="30"/>
          <w:szCs w:val="30"/>
        </w:rPr>
        <w:t>8.</w:t>
      </w:r>
      <w:r>
        <w:rPr>
          <w:sz w:val="30"/>
          <w:szCs w:val="30"/>
        </w:rPr>
        <w:t>1</w:t>
      </w:r>
      <w:r>
        <w:rPr>
          <w:rFonts w:hint="eastAsia"/>
          <w:sz w:val="30"/>
          <w:szCs w:val="30"/>
          <w:lang w:eastAsia="zh-CN"/>
        </w:rPr>
        <w:t>采购人</w:t>
      </w:r>
      <w:r>
        <w:rPr>
          <w:rFonts w:hint="eastAsia"/>
          <w:sz w:val="30"/>
          <w:szCs w:val="30"/>
        </w:rPr>
        <w:t>和相关部门按照</w:t>
      </w:r>
      <w:r>
        <w:rPr>
          <w:rFonts w:hint="eastAsia"/>
          <w:sz w:val="30"/>
          <w:szCs w:val="30"/>
          <w:lang w:eastAsia="zh-CN"/>
        </w:rPr>
        <w:t>比选文件</w:t>
      </w:r>
      <w:r>
        <w:rPr>
          <w:rFonts w:hint="eastAsia"/>
          <w:sz w:val="30"/>
          <w:szCs w:val="30"/>
        </w:rPr>
        <w:t>和</w:t>
      </w:r>
      <w:r>
        <w:rPr>
          <w:rFonts w:hint="eastAsia"/>
          <w:sz w:val="30"/>
          <w:szCs w:val="30"/>
          <w:lang w:eastAsia="zh-CN"/>
        </w:rPr>
        <w:t>响应文件</w:t>
      </w:r>
      <w:r>
        <w:rPr>
          <w:rFonts w:hint="eastAsia"/>
          <w:sz w:val="30"/>
          <w:szCs w:val="30"/>
        </w:rPr>
        <w:t>承诺进行验收。</w:t>
      </w:r>
      <w:r>
        <w:rPr>
          <w:rFonts w:hint="eastAsia"/>
          <w:sz w:val="30"/>
          <w:szCs w:val="30"/>
          <w:lang w:eastAsia="zh-CN"/>
        </w:rPr>
        <w:t>比选文件</w:t>
      </w:r>
      <w:r>
        <w:rPr>
          <w:rFonts w:hint="eastAsia"/>
          <w:sz w:val="30"/>
          <w:szCs w:val="30"/>
        </w:rPr>
        <w:t>没有规定和</w:t>
      </w:r>
      <w:r>
        <w:rPr>
          <w:rFonts w:hint="eastAsia"/>
          <w:sz w:val="30"/>
          <w:szCs w:val="30"/>
          <w:lang w:eastAsia="zh-CN"/>
        </w:rPr>
        <w:t>响应文件</w:t>
      </w:r>
      <w:r>
        <w:rPr>
          <w:rFonts w:hint="eastAsia"/>
          <w:sz w:val="30"/>
          <w:szCs w:val="30"/>
        </w:rPr>
        <w:t>没有相应承诺的，按照下列原则进行验收：有国家标准的按照国家标准验收，没有国家标准的按行业标准验收，无行业标准的按地方或企业标准验收，</w:t>
      </w:r>
      <w:r>
        <w:rPr>
          <w:rFonts w:hint="eastAsia"/>
          <w:sz w:val="30"/>
          <w:szCs w:val="30"/>
          <w:lang w:eastAsia="zh-CN"/>
        </w:rPr>
        <w:t>成交供应商</w:t>
      </w:r>
      <w:r>
        <w:rPr>
          <w:rFonts w:hint="eastAsia"/>
          <w:sz w:val="30"/>
          <w:szCs w:val="30"/>
        </w:rPr>
        <w:t>予以配合。涉及需要由质检或行业主管部门验收的项目，</w:t>
      </w:r>
      <w:r>
        <w:rPr>
          <w:rFonts w:hint="eastAsia"/>
          <w:sz w:val="30"/>
          <w:szCs w:val="30"/>
          <w:lang w:eastAsia="zh-CN"/>
        </w:rPr>
        <w:t>采购人</w:t>
      </w:r>
      <w:r>
        <w:rPr>
          <w:rFonts w:hint="eastAsia"/>
          <w:sz w:val="30"/>
          <w:szCs w:val="30"/>
        </w:rPr>
        <w:t>须约请相关部门和专家参加项目验收。所有需要质检部门进行检测才能使用的设备，</w:t>
      </w:r>
      <w:r>
        <w:rPr>
          <w:rFonts w:hint="eastAsia"/>
          <w:sz w:val="30"/>
          <w:szCs w:val="30"/>
          <w:lang w:val="en-US" w:eastAsia="zh-CN"/>
        </w:rPr>
        <w:t>总</w:t>
      </w:r>
      <w:r>
        <w:rPr>
          <w:rFonts w:hint="eastAsia"/>
          <w:sz w:val="30"/>
          <w:szCs w:val="30"/>
        </w:rPr>
        <w:t>报价中必须包含首次检测费用。</w:t>
      </w:r>
    </w:p>
    <w:p w14:paraId="53F883C5">
      <w:pPr>
        <w:ind w:firstLine="450" w:firstLineChars="150"/>
        <w:rPr>
          <w:sz w:val="30"/>
          <w:szCs w:val="30"/>
        </w:rPr>
      </w:pPr>
      <w:r>
        <w:rPr>
          <w:rFonts w:hint="eastAsia"/>
          <w:sz w:val="30"/>
          <w:szCs w:val="30"/>
        </w:rPr>
        <w:t>8.</w:t>
      </w:r>
      <w:r>
        <w:rPr>
          <w:sz w:val="30"/>
          <w:szCs w:val="30"/>
        </w:rPr>
        <w:t>2</w:t>
      </w:r>
      <w:r>
        <w:rPr>
          <w:rFonts w:hint="eastAsia"/>
          <w:sz w:val="30"/>
          <w:szCs w:val="30"/>
        </w:rPr>
        <w:t>货物在验收时，</w:t>
      </w:r>
      <w:r>
        <w:rPr>
          <w:rFonts w:hint="eastAsia"/>
          <w:sz w:val="30"/>
          <w:szCs w:val="30"/>
          <w:lang w:eastAsia="zh-CN"/>
        </w:rPr>
        <w:t>供应商</w:t>
      </w:r>
      <w:r>
        <w:rPr>
          <w:rFonts w:hint="eastAsia"/>
          <w:sz w:val="30"/>
          <w:szCs w:val="30"/>
        </w:rPr>
        <w:t>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w:t>
      </w:r>
      <w:r>
        <w:rPr>
          <w:rFonts w:hint="eastAsia"/>
          <w:sz w:val="30"/>
          <w:szCs w:val="30"/>
          <w:lang w:eastAsia="zh-CN"/>
        </w:rPr>
        <w:t>采购人</w:t>
      </w:r>
      <w:r>
        <w:rPr>
          <w:rFonts w:hint="eastAsia"/>
          <w:sz w:val="30"/>
          <w:szCs w:val="30"/>
        </w:rPr>
        <w:t>和应由</w:t>
      </w:r>
      <w:r>
        <w:rPr>
          <w:rFonts w:hint="eastAsia"/>
          <w:sz w:val="30"/>
          <w:szCs w:val="30"/>
          <w:lang w:eastAsia="zh-CN"/>
        </w:rPr>
        <w:t>成交供应商</w:t>
      </w:r>
      <w:r>
        <w:rPr>
          <w:rFonts w:hint="eastAsia"/>
          <w:sz w:val="30"/>
          <w:szCs w:val="30"/>
        </w:rPr>
        <w:t>提供的必要文件。</w:t>
      </w:r>
    </w:p>
    <w:p w14:paraId="6A429B95">
      <w:pPr>
        <w:ind w:firstLine="450" w:firstLineChars="150"/>
        <w:rPr>
          <w:sz w:val="30"/>
          <w:szCs w:val="30"/>
        </w:rPr>
      </w:pPr>
      <w:r>
        <w:rPr>
          <w:rFonts w:hint="eastAsia"/>
          <w:sz w:val="30"/>
          <w:szCs w:val="30"/>
        </w:rPr>
        <w:t>8.</w:t>
      </w:r>
      <w:r>
        <w:rPr>
          <w:sz w:val="30"/>
          <w:szCs w:val="30"/>
        </w:rPr>
        <w:t>3</w:t>
      </w:r>
      <w:r>
        <w:rPr>
          <w:rFonts w:hint="eastAsia"/>
          <w:sz w:val="30"/>
          <w:szCs w:val="30"/>
          <w:lang w:eastAsia="zh-CN"/>
        </w:rPr>
        <w:t>成交供应商</w:t>
      </w:r>
      <w:r>
        <w:rPr>
          <w:rFonts w:hint="eastAsia"/>
          <w:sz w:val="30"/>
          <w:szCs w:val="30"/>
        </w:rPr>
        <w:t>应根据</w:t>
      </w:r>
      <w:r>
        <w:rPr>
          <w:rFonts w:hint="eastAsia"/>
          <w:sz w:val="30"/>
          <w:szCs w:val="30"/>
          <w:lang w:eastAsia="zh-CN"/>
        </w:rPr>
        <w:t>采购人</w:t>
      </w:r>
      <w:r>
        <w:rPr>
          <w:rFonts w:hint="eastAsia"/>
          <w:sz w:val="30"/>
          <w:szCs w:val="30"/>
        </w:rPr>
        <w:t>使用单位的技术要求提供相应的软硬件产品。由</w:t>
      </w:r>
      <w:r>
        <w:rPr>
          <w:rFonts w:hint="eastAsia"/>
          <w:sz w:val="30"/>
          <w:szCs w:val="30"/>
          <w:lang w:eastAsia="zh-CN"/>
        </w:rPr>
        <w:t>成交供应商</w:t>
      </w:r>
      <w:r>
        <w:rPr>
          <w:rFonts w:hint="eastAsia"/>
          <w:sz w:val="30"/>
          <w:szCs w:val="30"/>
        </w:rPr>
        <w:t>所提供的设备部件间的连线和插接件均应视为设备内部器件，包含在相应的设备之中。</w:t>
      </w:r>
    </w:p>
    <w:p w14:paraId="7B9DBE22">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w:t>
      </w:r>
      <w:r>
        <w:rPr>
          <w:rFonts w:hint="eastAsia"/>
          <w:sz w:val="30"/>
          <w:szCs w:val="30"/>
          <w:lang w:eastAsia="zh-CN"/>
        </w:rPr>
        <w:t>成交供应商</w:t>
      </w:r>
      <w:r>
        <w:rPr>
          <w:rFonts w:hint="eastAsia"/>
          <w:sz w:val="30"/>
          <w:szCs w:val="30"/>
        </w:rPr>
        <w:t>提供，费用包含在</w:t>
      </w:r>
      <w:r>
        <w:rPr>
          <w:rFonts w:hint="eastAsia"/>
          <w:sz w:val="30"/>
          <w:szCs w:val="30"/>
          <w:lang w:eastAsia="zh-CN"/>
        </w:rPr>
        <w:t>总报价</w:t>
      </w:r>
      <w:r>
        <w:rPr>
          <w:rFonts w:hint="eastAsia"/>
          <w:sz w:val="30"/>
          <w:szCs w:val="30"/>
        </w:rPr>
        <w:t>中。</w:t>
      </w:r>
    </w:p>
    <w:p w14:paraId="22E156AF">
      <w:pPr>
        <w:ind w:firstLine="450" w:firstLineChars="150"/>
        <w:rPr>
          <w:rFonts w:hint="eastAsia" w:ascii="Times New Roman" w:hAnsi="Times New Roman" w:eastAsia="宋体" w:cs="Times New Roman"/>
          <w:sz w:val="30"/>
          <w:szCs w:val="30"/>
        </w:rPr>
      </w:pPr>
      <w:r>
        <w:rPr>
          <w:rFonts w:hint="eastAsia"/>
          <w:sz w:val="30"/>
          <w:szCs w:val="30"/>
        </w:rPr>
        <w:t>8.</w:t>
      </w:r>
      <w:r>
        <w:rPr>
          <w:sz w:val="30"/>
          <w:szCs w:val="30"/>
        </w:rPr>
        <w:t>5</w:t>
      </w:r>
      <w:r>
        <w:rPr>
          <w:rFonts w:hint="eastAsia"/>
          <w:sz w:val="30"/>
          <w:szCs w:val="30"/>
        </w:rPr>
        <w:t>对货物进行全面的验收，对验收中暴露出来的问题，</w:t>
      </w:r>
      <w:r>
        <w:rPr>
          <w:rFonts w:hint="eastAsia"/>
          <w:sz w:val="30"/>
          <w:szCs w:val="30"/>
          <w:lang w:eastAsia="zh-CN"/>
        </w:rPr>
        <w:t>成交供应商</w:t>
      </w:r>
      <w:r>
        <w:rPr>
          <w:rFonts w:hint="eastAsia"/>
          <w:sz w:val="30"/>
          <w:szCs w:val="30"/>
        </w:rPr>
        <w:t>应及时进行整改，最终验收合格后，</w:t>
      </w:r>
      <w:r>
        <w:rPr>
          <w:rFonts w:hint="eastAsia"/>
          <w:sz w:val="30"/>
          <w:szCs w:val="30"/>
          <w:lang w:eastAsia="zh-CN"/>
        </w:rPr>
        <w:t>采购人</w:t>
      </w:r>
      <w:r>
        <w:rPr>
          <w:rFonts w:hint="eastAsia"/>
          <w:sz w:val="30"/>
          <w:szCs w:val="30"/>
        </w:rPr>
        <w:t>向</w:t>
      </w:r>
      <w:r>
        <w:rPr>
          <w:rFonts w:hint="eastAsia"/>
          <w:sz w:val="30"/>
          <w:szCs w:val="30"/>
          <w:lang w:eastAsia="zh-CN"/>
        </w:rPr>
        <w:t>成交供应商</w:t>
      </w:r>
      <w:r>
        <w:rPr>
          <w:rFonts w:hint="eastAsia"/>
          <w:sz w:val="30"/>
          <w:szCs w:val="30"/>
        </w:rPr>
        <w:t>签发最终验收</w:t>
      </w:r>
      <w:r>
        <w:rPr>
          <w:rFonts w:hint="eastAsia" w:ascii="Times New Roman" w:hAnsi="Times New Roman" w:eastAsia="宋体" w:cs="Times New Roman"/>
          <w:sz w:val="30"/>
          <w:szCs w:val="30"/>
        </w:rPr>
        <w:t>证明</w:t>
      </w:r>
      <w:r>
        <w:rPr>
          <w:rFonts w:hint="eastAsia" w:ascii="Times New Roman" w:hAnsi="Times New Roman" w:eastAsia="宋体" w:cs="Times New Roman"/>
          <w:sz w:val="30"/>
          <w:szCs w:val="30"/>
          <w:lang w:eastAsia="zh-CN"/>
        </w:rPr>
        <w:t>，</w:t>
      </w:r>
      <w:r>
        <w:rPr>
          <w:rFonts w:hint="eastAsia" w:ascii="Times New Roman" w:hAnsi="Times New Roman" w:eastAsia="宋体" w:cs="Times New Roman"/>
          <w:sz w:val="30"/>
          <w:szCs w:val="30"/>
        </w:rPr>
        <w:t>若出现2次质量问题将取消供应商此次中标。</w:t>
      </w:r>
    </w:p>
    <w:p w14:paraId="204F96CD">
      <w:pPr>
        <w:ind w:firstLine="450" w:firstLineChars="150"/>
        <w:rPr>
          <w:sz w:val="30"/>
          <w:szCs w:val="30"/>
        </w:rPr>
      </w:pPr>
      <w:r>
        <w:rPr>
          <w:rFonts w:hint="eastAsia"/>
          <w:sz w:val="30"/>
          <w:szCs w:val="30"/>
        </w:rPr>
        <w:t>8.</w:t>
      </w:r>
      <w:r>
        <w:rPr>
          <w:sz w:val="30"/>
          <w:szCs w:val="30"/>
        </w:rPr>
        <w:t>6</w:t>
      </w:r>
      <w:r>
        <w:rPr>
          <w:rFonts w:hint="eastAsia"/>
          <w:sz w:val="30"/>
          <w:szCs w:val="30"/>
          <w:lang w:eastAsia="zh-CN"/>
        </w:rPr>
        <w:t>成交供应商</w:t>
      </w:r>
      <w:r>
        <w:rPr>
          <w:rFonts w:hint="eastAsia"/>
          <w:sz w:val="30"/>
          <w:szCs w:val="30"/>
        </w:rPr>
        <w:t>应向</w:t>
      </w:r>
      <w:r>
        <w:rPr>
          <w:rFonts w:hint="eastAsia"/>
          <w:sz w:val="30"/>
          <w:szCs w:val="30"/>
          <w:lang w:eastAsia="zh-CN"/>
        </w:rPr>
        <w:t>采购人</w:t>
      </w:r>
      <w:r>
        <w:rPr>
          <w:rFonts w:hint="eastAsia"/>
          <w:sz w:val="30"/>
          <w:szCs w:val="30"/>
        </w:rPr>
        <w:t>提供安装调试过程中的各种文档资料,以便</w:t>
      </w:r>
      <w:r>
        <w:rPr>
          <w:rFonts w:hint="eastAsia"/>
          <w:sz w:val="30"/>
          <w:szCs w:val="30"/>
          <w:lang w:eastAsia="zh-CN"/>
        </w:rPr>
        <w:t>采购人</w:t>
      </w:r>
      <w:r>
        <w:rPr>
          <w:rFonts w:hint="eastAsia"/>
          <w:sz w:val="30"/>
          <w:szCs w:val="30"/>
        </w:rPr>
        <w:t>今后能掌握操作和维护方法。</w:t>
      </w:r>
    </w:p>
    <w:p w14:paraId="08AB1722">
      <w:pPr>
        <w:ind w:firstLine="452" w:firstLineChars="150"/>
        <w:rPr>
          <w:rFonts w:hint="eastAsia" w:eastAsia="宋体"/>
          <w:b/>
          <w:bCs/>
          <w:sz w:val="30"/>
          <w:szCs w:val="30"/>
          <w:lang w:eastAsia="zh-CN"/>
        </w:rPr>
      </w:pPr>
      <w:r>
        <w:rPr>
          <w:rFonts w:hint="eastAsia"/>
          <w:b/>
          <w:bCs/>
          <w:sz w:val="30"/>
          <w:szCs w:val="30"/>
        </w:rPr>
        <w:t>9、付款方式：</w:t>
      </w:r>
      <w:r>
        <w:rPr>
          <w:rFonts w:hint="eastAsia"/>
          <w:b/>
          <w:bCs/>
          <w:sz w:val="30"/>
          <w:szCs w:val="30"/>
          <w:lang w:eastAsia="zh-CN"/>
        </w:rPr>
        <w:t>成交供应商</w:t>
      </w:r>
      <w:r>
        <w:rPr>
          <w:rFonts w:hint="eastAsia"/>
          <w:b/>
          <w:bCs/>
          <w:sz w:val="30"/>
          <w:szCs w:val="30"/>
        </w:rPr>
        <w:t>供货并安装调试</w:t>
      </w:r>
      <w:r>
        <w:rPr>
          <w:rFonts w:hint="eastAsia"/>
          <w:b/>
          <w:bCs/>
          <w:sz w:val="30"/>
          <w:szCs w:val="30"/>
          <w:lang w:eastAsia="zh-CN"/>
        </w:rPr>
        <w:t>、</w:t>
      </w:r>
      <w:r>
        <w:rPr>
          <w:rFonts w:hint="eastAsia"/>
          <w:b/>
          <w:bCs/>
          <w:sz w:val="30"/>
          <w:szCs w:val="30"/>
          <w:lang w:val="en-US" w:eastAsia="zh-CN"/>
        </w:rPr>
        <w:t>施工</w:t>
      </w:r>
      <w:r>
        <w:rPr>
          <w:rFonts w:hint="eastAsia"/>
          <w:b/>
          <w:bCs/>
          <w:sz w:val="30"/>
          <w:szCs w:val="30"/>
        </w:rPr>
        <w:t>完毕</w:t>
      </w:r>
      <w:r>
        <w:rPr>
          <w:rFonts w:hint="eastAsia"/>
          <w:b/>
          <w:bCs/>
          <w:sz w:val="30"/>
          <w:szCs w:val="30"/>
          <w:lang w:val="en-US" w:eastAsia="zh-CN"/>
        </w:rPr>
        <w:t>后</w:t>
      </w:r>
      <w:r>
        <w:rPr>
          <w:rFonts w:hint="eastAsia"/>
          <w:b/>
          <w:bCs/>
          <w:sz w:val="30"/>
          <w:szCs w:val="30"/>
        </w:rPr>
        <w:t>，</w:t>
      </w:r>
      <w:r>
        <w:rPr>
          <w:rFonts w:hint="eastAsia"/>
          <w:b/>
          <w:bCs/>
          <w:sz w:val="30"/>
          <w:szCs w:val="30"/>
          <w:lang w:val="en-US" w:eastAsia="zh-CN"/>
        </w:rPr>
        <w:t>采购人在</w:t>
      </w:r>
      <w:r>
        <w:rPr>
          <w:rFonts w:hint="eastAsia"/>
          <w:b/>
          <w:bCs/>
          <w:sz w:val="30"/>
          <w:szCs w:val="30"/>
        </w:rPr>
        <w:t>竣工验收后支付</w:t>
      </w:r>
      <w:r>
        <w:rPr>
          <w:rFonts w:hint="eastAsia"/>
          <w:b/>
          <w:bCs/>
          <w:sz w:val="30"/>
          <w:szCs w:val="30"/>
          <w:lang w:val="en-US" w:eastAsia="zh-CN"/>
        </w:rPr>
        <w:t>成交供应商总金额的</w:t>
      </w:r>
      <w:r>
        <w:rPr>
          <w:rFonts w:hint="eastAsia"/>
          <w:b/>
          <w:bCs/>
          <w:sz w:val="30"/>
          <w:szCs w:val="30"/>
        </w:rPr>
        <w:t>95％</w:t>
      </w:r>
      <w:r>
        <w:rPr>
          <w:rFonts w:hint="eastAsia"/>
          <w:b/>
          <w:bCs/>
          <w:sz w:val="30"/>
          <w:szCs w:val="30"/>
          <w:lang w:eastAsia="zh-CN"/>
        </w:rPr>
        <w:t>，</w:t>
      </w:r>
      <w:r>
        <w:rPr>
          <w:rFonts w:hint="eastAsia"/>
          <w:b/>
          <w:bCs/>
          <w:sz w:val="30"/>
          <w:szCs w:val="30"/>
        </w:rPr>
        <w:t>质保期结束后支付余款</w:t>
      </w:r>
      <w:r>
        <w:rPr>
          <w:rFonts w:hint="eastAsia"/>
          <w:b/>
          <w:bCs/>
          <w:sz w:val="30"/>
          <w:szCs w:val="30"/>
          <w:lang w:eastAsia="zh-CN"/>
        </w:rPr>
        <w:t>。</w:t>
      </w:r>
    </w:p>
    <w:p w14:paraId="64AE31EB">
      <w:pPr>
        <w:ind w:firstLine="450" w:firstLineChars="150"/>
        <w:rPr>
          <w:rFonts w:hint="eastAsia"/>
          <w:sz w:val="30"/>
          <w:szCs w:val="30"/>
        </w:rPr>
      </w:pPr>
      <w:r>
        <w:rPr>
          <w:rFonts w:hint="eastAsia"/>
          <w:sz w:val="30"/>
          <w:szCs w:val="30"/>
        </w:rPr>
        <w:t>10、</w:t>
      </w:r>
      <w:r>
        <w:rPr>
          <w:rFonts w:hint="eastAsia"/>
          <w:sz w:val="30"/>
          <w:szCs w:val="30"/>
          <w:lang w:eastAsia="zh-CN"/>
        </w:rPr>
        <w:t>总报价</w:t>
      </w:r>
      <w:r>
        <w:rPr>
          <w:rFonts w:hint="eastAsia"/>
          <w:sz w:val="30"/>
          <w:szCs w:val="30"/>
        </w:rPr>
        <w:t>包括了履行合同所有内容的全部费用。</w:t>
      </w:r>
      <w:r>
        <w:rPr>
          <w:rFonts w:hint="eastAsia"/>
          <w:sz w:val="30"/>
          <w:szCs w:val="30"/>
          <w:lang w:eastAsia="zh-CN"/>
        </w:rPr>
        <w:t>总报价</w:t>
      </w:r>
      <w:r>
        <w:rPr>
          <w:rFonts w:hint="eastAsia"/>
          <w:sz w:val="30"/>
          <w:szCs w:val="30"/>
        </w:rPr>
        <w:t>包含了交付使用前的全部费用，包括货物购置费（包括主要设备、辅助设备、备品备件、辅材、零配件、易损件及专用工具费等）、安装调试费、人工费、交通费、食宿费、管理费、运输费、保险费、</w:t>
      </w:r>
      <w:r>
        <w:rPr>
          <w:rFonts w:hint="eastAsia"/>
          <w:sz w:val="30"/>
          <w:szCs w:val="30"/>
          <w:lang w:eastAsia="zh-CN"/>
        </w:rPr>
        <w:t>质保期</w:t>
      </w:r>
      <w:r>
        <w:rPr>
          <w:rFonts w:hint="eastAsia"/>
          <w:sz w:val="30"/>
          <w:szCs w:val="30"/>
        </w:rPr>
        <w:t>内的维护维修费、培训费、验收费、</w:t>
      </w:r>
      <w:r>
        <w:rPr>
          <w:rFonts w:hint="eastAsia"/>
          <w:sz w:val="30"/>
          <w:szCs w:val="30"/>
          <w:lang w:val="en-US" w:eastAsia="zh-CN"/>
        </w:rPr>
        <w:t>环境基建改造、</w:t>
      </w:r>
      <w:r>
        <w:rPr>
          <w:rFonts w:hint="eastAsia"/>
          <w:sz w:val="30"/>
          <w:szCs w:val="30"/>
        </w:rPr>
        <w:t>其他费用（如包装费、仓储费、保管费、资料费、软件升级费以及完成本项目所需要的其他费用）及所有价内价外税金及合理利润等。</w:t>
      </w:r>
    </w:p>
    <w:p w14:paraId="264D7652">
      <w:pPr>
        <w:ind w:firstLine="450" w:firstLineChars="150"/>
        <w:rPr>
          <w:rFonts w:hint="eastAsia" w:ascii="Times New Roman" w:hAnsi="Times New Roman" w:eastAsia="宋体" w:cs="Times New Roman"/>
          <w:sz w:val="30"/>
          <w:szCs w:val="30"/>
          <w:highlight w:val="yellow"/>
          <w:lang w:eastAsia="zh-CN"/>
        </w:rPr>
      </w:pPr>
      <w:r>
        <w:rPr>
          <w:rFonts w:hint="eastAsia" w:ascii="Times New Roman" w:hAnsi="Times New Roman" w:eastAsia="宋体" w:cs="Times New Roman"/>
          <w:sz w:val="30"/>
          <w:szCs w:val="30"/>
          <w:highlight w:val="yellow"/>
          <w:lang w:val="en-US" w:eastAsia="zh-CN"/>
        </w:rPr>
        <w:t>11、团队技术人员</w:t>
      </w:r>
      <w:r>
        <w:rPr>
          <w:rFonts w:hint="eastAsia" w:ascii="Times New Roman" w:hAnsi="Times New Roman" w:eastAsia="宋体" w:cs="Times New Roman"/>
          <w:sz w:val="30"/>
          <w:szCs w:val="30"/>
          <w:highlight w:val="yellow"/>
        </w:rPr>
        <w:t>应具有：（低压）电工操作证、高处安装维护操作证、热熔与切割操作证、真空泵维护修理培训证书与售后服务管理师证书。</w:t>
      </w:r>
      <w:r>
        <w:rPr>
          <w:rFonts w:hint="eastAsia" w:ascii="Times New Roman" w:hAnsi="Times New Roman" w:eastAsia="宋体" w:cs="Times New Roman"/>
          <w:b/>
          <w:bCs/>
          <w:color w:val="auto"/>
          <w:sz w:val="30"/>
          <w:szCs w:val="30"/>
          <w:highlight w:val="yellow"/>
          <w:lang w:val="en-US" w:eastAsia="zh-CN"/>
        </w:rPr>
        <w:t>供应商在响应文件里须</w:t>
      </w:r>
      <w:r>
        <w:rPr>
          <w:rFonts w:hint="eastAsia" w:ascii="Times New Roman" w:hAnsi="Times New Roman" w:eastAsia="宋体" w:cs="Times New Roman"/>
          <w:b/>
          <w:bCs/>
          <w:color w:val="auto"/>
          <w:sz w:val="30"/>
          <w:szCs w:val="30"/>
          <w:highlight w:val="yellow"/>
        </w:rPr>
        <w:t>提供</w:t>
      </w:r>
      <w:r>
        <w:rPr>
          <w:rFonts w:hint="eastAsia" w:ascii="Times New Roman" w:hAnsi="Times New Roman" w:eastAsia="宋体" w:cs="Times New Roman"/>
          <w:b/>
          <w:bCs/>
          <w:color w:val="auto"/>
          <w:sz w:val="30"/>
          <w:szCs w:val="30"/>
          <w:highlight w:val="yellow"/>
          <w:lang w:val="en-US" w:eastAsia="zh-CN"/>
        </w:rPr>
        <w:t>以上</w:t>
      </w:r>
      <w:r>
        <w:rPr>
          <w:rFonts w:hint="eastAsia" w:ascii="Times New Roman" w:hAnsi="Times New Roman" w:eastAsia="宋体" w:cs="Times New Roman"/>
          <w:b/>
          <w:bCs/>
          <w:color w:val="auto"/>
          <w:sz w:val="30"/>
          <w:szCs w:val="30"/>
          <w:highlight w:val="yellow"/>
        </w:rPr>
        <w:t>证书的复印件</w:t>
      </w:r>
      <w:r>
        <w:rPr>
          <w:rFonts w:hint="eastAsia" w:ascii="Times New Roman" w:hAnsi="Times New Roman" w:eastAsia="宋体" w:cs="Times New Roman"/>
          <w:b/>
          <w:bCs/>
          <w:color w:val="auto"/>
          <w:sz w:val="30"/>
          <w:szCs w:val="30"/>
          <w:highlight w:val="yellow"/>
          <w:lang w:eastAsia="zh-CN"/>
        </w:rPr>
        <w:t>，</w:t>
      </w:r>
      <w:r>
        <w:rPr>
          <w:rFonts w:hint="eastAsia" w:ascii="Times New Roman" w:hAnsi="Times New Roman" w:eastAsia="宋体" w:cs="Times New Roman"/>
          <w:b/>
          <w:bCs/>
          <w:color w:val="auto"/>
          <w:sz w:val="30"/>
          <w:szCs w:val="30"/>
          <w:highlight w:val="yellow"/>
        </w:rPr>
        <w:t>否则视为商务要求未完全响应</w:t>
      </w:r>
      <w:r>
        <w:rPr>
          <w:rFonts w:hint="eastAsia"/>
          <w:b/>
          <w:bCs/>
          <w:color w:val="auto"/>
          <w:highlight w:val="yellow"/>
          <w:lang w:eastAsia="zh-CN"/>
        </w:rPr>
        <w:t>。</w:t>
      </w:r>
    </w:p>
    <w:p w14:paraId="1C67E5E0">
      <w:pPr>
        <w:ind w:firstLine="450" w:firstLineChars="150"/>
        <w:rPr>
          <w:rFonts w:hint="eastAsia" w:ascii="Times New Roman" w:hAnsi="Times New Roman" w:eastAsia="宋体" w:cs="Times New Roman"/>
          <w:sz w:val="30"/>
          <w:szCs w:val="30"/>
          <w:lang w:eastAsia="zh-CN"/>
        </w:rPr>
      </w:pPr>
      <w:r>
        <w:rPr>
          <w:rFonts w:hint="eastAsia" w:ascii="Times New Roman" w:hAnsi="Times New Roman" w:eastAsia="宋体" w:cs="Times New Roman"/>
          <w:sz w:val="30"/>
          <w:szCs w:val="30"/>
          <w:highlight w:val="yellow"/>
          <w:lang w:val="en-US" w:eastAsia="zh-CN"/>
        </w:rPr>
        <w:t>12、</w:t>
      </w:r>
      <w:r>
        <w:rPr>
          <w:rFonts w:hint="eastAsia" w:ascii="Times New Roman" w:hAnsi="Times New Roman" w:eastAsia="宋体" w:cs="Times New Roman"/>
          <w:sz w:val="30"/>
          <w:szCs w:val="30"/>
          <w:highlight w:val="yellow"/>
        </w:rPr>
        <w:t>项目拟派的技术负责人具有工程类中级以上（含中级）工程师职称的证书</w:t>
      </w:r>
      <w:r>
        <w:rPr>
          <w:rFonts w:hint="eastAsia" w:ascii="Times New Roman" w:hAnsi="Times New Roman" w:eastAsia="宋体" w:cs="Times New Roman"/>
          <w:sz w:val="30"/>
          <w:szCs w:val="30"/>
          <w:highlight w:val="yellow"/>
          <w:lang w:eastAsia="zh-CN"/>
        </w:rPr>
        <w:t>。</w:t>
      </w:r>
      <w:r>
        <w:rPr>
          <w:rFonts w:hint="eastAsia" w:ascii="Times New Roman" w:hAnsi="Times New Roman" w:eastAsia="宋体" w:cs="Times New Roman"/>
          <w:b/>
          <w:bCs/>
          <w:sz w:val="30"/>
          <w:szCs w:val="30"/>
          <w:highlight w:val="yellow"/>
          <w:lang w:val="en-US" w:eastAsia="zh-CN"/>
        </w:rPr>
        <w:t>供应商在响应文件里须</w:t>
      </w:r>
      <w:r>
        <w:rPr>
          <w:rFonts w:hint="eastAsia" w:ascii="Times New Roman" w:hAnsi="Times New Roman" w:eastAsia="宋体" w:cs="Times New Roman"/>
          <w:b/>
          <w:bCs/>
          <w:sz w:val="30"/>
          <w:szCs w:val="30"/>
          <w:highlight w:val="yellow"/>
        </w:rPr>
        <w:t>提供</w:t>
      </w:r>
      <w:r>
        <w:rPr>
          <w:rFonts w:hint="eastAsia" w:ascii="Times New Roman" w:hAnsi="Times New Roman" w:eastAsia="宋体" w:cs="Times New Roman"/>
          <w:b/>
          <w:bCs/>
          <w:sz w:val="30"/>
          <w:szCs w:val="30"/>
          <w:highlight w:val="yellow"/>
          <w:lang w:val="en-US" w:eastAsia="zh-CN"/>
        </w:rPr>
        <w:t>以上</w:t>
      </w:r>
      <w:r>
        <w:rPr>
          <w:rFonts w:hint="eastAsia" w:ascii="Times New Roman" w:hAnsi="Times New Roman" w:eastAsia="宋体" w:cs="Times New Roman"/>
          <w:b/>
          <w:bCs/>
          <w:sz w:val="30"/>
          <w:szCs w:val="30"/>
          <w:highlight w:val="yellow"/>
        </w:rPr>
        <w:t>证书的复印件</w:t>
      </w:r>
      <w:r>
        <w:rPr>
          <w:rFonts w:hint="eastAsia" w:ascii="Times New Roman" w:hAnsi="Times New Roman" w:eastAsia="宋体" w:cs="Times New Roman"/>
          <w:b/>
          <w:bCs/>
          <w:sz w:val="30"/>
          <w:szCs w:val="30"/>
          <w:highlight w:val="yellow"/>
          <w:lang w:eastAsia="zh-CN"/>
        </w:rPr>
        <w:t>，</w:t>
      </w:r>
      <w:r>
        <w:rPr>
          <w:rFonts w:hint="eastAsia" w:ascii="Times New Roman" w:hAnsi="Times New Roman" w:eastAsia="宋体" w:cs="Times New Roman"/>
          <w:b/>
          <w:bCs/>
          <w:sz w:val="30"/>
          <w:szCs w:val="30"/>
          <w:highlight w:val="yellow"/>
        </w:rPr>
        <w:t>否则视为商务要求未完全响应</w:t>
      </w:r>
      <w:r>
        <w:rPr>
          <w:rFonts w:hint="eastAsia"/>
          <w:b/>
          <w:bCs/>
          <w:highlight w:val="yellow"/>
          <w:lang w:eastAsia="zh-CN"/>
        </w:rPr>
        <w:t>。</w:t>
      </w:r>
    </w:p>
    <w:p w14:paraId="5E3DB32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62C87903"/>
    <w:rsid w:val="62C879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
    <w:qFormat/>
    <w:uiPriority w:val="0"/>
    <w:pPr>
      <w:keepNext/>
      <w:keepLines/>
      <w:spacing w:before="340" w:beforeLines="0" w:after="330" w:afterLines="0" w:line="578" w:lineRule="auto"/>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customStyle="1" w:styleId="6">
    <w:name w:val="标题 1 Char"/>
    <w:basedOn w:val="5"/>
    <w:link w:val="2"/>
    <w:locked/>
    <w:uiPriority w:val="0"/>
    <w:rPr>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2024-10-15T08:54:00Z</dcterms:created>
  <dc:creator>高杨</dc:creator>
  <cp:lastModifiedBy>高杨</cp:lastModifiedBy>
  <dcterms:modified xsi:type="dcterms:W3CDTF">2024-10-15T08:54:43Z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4EF75376A5D943158A17B2D5918CB850_11</vt:lpwstr>
  </property>
</Properties>
</file>