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E8C33">
      <w:pPr>
        <w:pStyle w:val="2"/>
        <w:bidi w:val="0"/>
        <w:jc w:val="center"/>
        <w:rPr>
          <w:rFonts w:hint="default"/>
          <w:sz w:val="30"/>
          <w:szCs w:val="30"/>
          <w:lang w:val="en-US" w:eastAsia="zh-CN"/>
        </w:rPr>
      </w:pPr>
      <w:bookmarkStart w:id="0" w:name="_Toc21458"/>
      <w:bookmarkStart w:id="1" w:name="_Toc13245"/>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采购清单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3392"/>
        <w:gridCol w:w="2057"/>
        <w:gridCol w:w="1802"/>
      </w:tblGrid>
      <w:tr w14:paraId="313A0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Borders>
              <w:top w:val="single" w:color="auto" w:sz="4" w:space="0"/>
              <w:left w:val="single" w:color="auto" w:sz="4" w:space="0"/>
              <w:bottom w:val="single" w:color="auto" w:sz="4" w:space="0"/>
              <w:right w:val="single" w:color="auto" w:sz="4" w:space="0"/>
            </w:tcBorders>
            <w:noWrap w:val="0"/>
            <w:vAlign w:val="top"/>
          </w:tcPr>
          <w:p w14:paraId="3D493F62">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序号</w:t>
            </w:r>
          </w:p>
        </w:tc>
        <w:tc>
          <w:tcPr>
            <w:tcW w:w="3635" w:type="dxa"/>
            <w:tcBorders>
              <w:top w:val="single" w:color="auto" w:sz="4" w:space="0"/>
              <w:left w:val="single" w:color="auto" w:sz="4" w:space="0"/>
              <w:bottom w:val="single" w:color="auto" w:sz="4" w:space="0"/>
              <w:right w:val="single" w:color="auto" w:sz="4" w:space="0"/>
            </w:tcBorders>
            <w:noWrap w:val="0"/>
            <w:vAlign w:val="top"/>
          </w:tcPr>
          <w:p w14:paraId="2E976C78">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名称</w:t>
            </w:r>
          </w:p>
        </w:tc>
        <w:tc>
          <w:tcPr>
            <w:tcW w:w="2188" w:type="dxa"/>
            <w:tcBorders>
              <w:top w:val="single" w:color="auto" w:sz="4" w:space="0"/>
              <w:left w:val="single" w:color="auto" w:sz="4" w:space="0"/>
              <w:bottom w:val="single" w:color="auto" w:sz="4" w:space="0"/>
              <w:right w:val="single" w:color="auto" w:sz="4" w:space="0"/>
            </w:tcBorders>
            <w:noWrap w:val="0"/>
            <w:vAlign w:val="top"/>
          </w:tcPr>
          <w:p w14:paraId="32D4AFAB">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数量</w:t>
            </w:r>
          </w:p>
        </w:tc>
        <w:tc>
          <w:tcPr>
            <w:tcW w:w="1911" w:type="dxa"/>
            <w:tcBorders>
              <w:top w:val="single" w:color="auto" w:sz="4" w:space="0"/>
              <w:left w:val="single" w:color="auto" w:sz="4" w:space="0"/>
              <w:bottom w:val="single" w:color="auto" w:sz="4" w:space="0"/>
              <w:right w:val="single" w:color="auto" w:sz="4" w:space="0"/>
            </w:tcBorders>
            <w:noWrap w:val="0"/>
            <w:vAlign w:val="top"/>
          </w:tcPr>
          <w:p w14:paraId="6839A1C9">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单位</w:t>
            </w:r>
          </w:p>
        </w:tc>
      </w:tr>
      <w:tr w14:paraId="17022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Borders>
              <w:top w:val="single" w:color="auto" w:sz="4" w:space="0"/>
              <w:left w:val="single" w:color="auto" w:sz="4" w:space="0"/>
              <w:bottom w:val="single" w:color="auto" w:sz="4" w:space="0"/>
              <w:right w:val="single" w:color="auto" w:sz="4" w:space="0"/>
            </w:tcBorders>
            <w:noWrap w:val="0"/>
            <w:vAlign w:val="top"/>
          </w:tcPr>
          <w:p w14:paraId="733FE79F">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w:t>
            </w:r>
          </w:p>
        </w:tc>
        <w:tc>
          <w:tcPr>
            <w:tcW w:w="3635" w:type="dxa"/>
            <w:tcBorders>
              <w:top w:val="single" w:color="auto" w:sz="4" w:space="0"/>
              <w:left w:val="single" w:color="auto" w:sz="4" w:space="0"/>
              <w:bottom w:val="single" w:color="auto" w:sz="4" w:space="0"/>
              <w:right w:val="single" w:color="auto" w:sz="4" w:space="0"/>
            </w:tcBorders>
            <w:noWrap w:val="0"/>
            <w:vAlign w:val="top"/>
          </w:tcPr>
          <w:p w14:paraId="7BEEF10A">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电动排液器</w:t>
            </w:r>
          </w:p>
        </w:tc>
        <w:tc>
          <w:tcPr>
            <w:tcW w:w="2188" w:type="dxa"/>
            <w:tcBorders>
              <w:top w:val="single" w:color="auto" w:sz="4" w:space="0"/>
              <w:left w:val="single" w:color="auto" w:sz="4" w:space="0"/>
              <w:bottom w:val="single" w:color="auto" w:sz="4" w:space="0"/>
              <w:right w:val="single" w:color="auto" w:sz="4" w:space="0"/>
            </w:tcBorders>
            <w:noWrap w:val="0"/>
            <w:vAlign w:val="top"/>
          </w:tcPr>
          <w:p w14:paraId="12402366">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w:t>
            </w:r>
          </w:p>
        </w:tc>
        <w:tc>
          <w:tcPr>
            <w:tcW w:w="1911" w:type="dxa"/>
            <w:tcBorders>
              <w:top w:val="single" w:color="auto" w:sz="4" w:space="0"/>
              <w:left w:val="single" w:color="auto" w:sz="4" w:space="0"/>
              <w:bottom w:val="single" w:color="auto" w:sz="4" w:space="0"/>
              <w:right w:val="single" w:color="auto" w:sz="4" w:space="0"/>
            </w:tcBorders>
            <w:noWrap w:val="0"/>
            <w:vAlign w:val="top"/>
          </w:tcPr>
          <w:p w14:paraId="52AE9656">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台</w:t>
            </w:r>
          </w:p>
        </w:tc>
      </w:tr>
      <w:tr w14:paraId="30DA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Borders>
              <w:top w:val="single" w:color="auto" w:sz="4" w:space="0"/>
              <w:left w:val="single" w:color="auto" w:sz="4" w:space="0"/>
              <w:bottom w:val="single" w:color="auto" w:sz="4" w:space="0"/>
              <w:right w:val="single" w:color="auto" w:sz="4" w:space="0"/>
            </w:tcBorders>
            <w:noWrap w:val="0"/>
            <w:vAlign w:val="top"/>
          </w:tcPr>
          <w:p w14:paraId="5066B0E3">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w:t>
            </w:r>
          </w:p>
        </w:tc>
        <w:tc>
          <w:tcPr>
            <w:tcW w:w="3635" w:type="dxa"/>
            <w:tcBorders>
              <w:top w:val="single" w:color="auto" w:sz="4" w:space="0"/>
              <w:left w:val="single" w:color="auto" w:sz="4" w:space="0"/>
              <w:bottom w:val="single" w:color="auto" w:sz="4" w:space="0"/>
              <w:right w:val="single" w:color="auto" w:sz="4" w:space="0"/>
            </w:tcBorders>
            <w:noWrap w:val="0"/>
            <w:vAlign w:val="top"/>
          </w:tcPr>
          <w:p w14:paraId="313CEF73">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医疗废液收集罐车</w:t>
            </w:r>
          </w:p>
        </w:tc>
        <w:tc>
          <w:tcPr>
            <w:tcW w:w="2188" w:type="dxa"/>
            <w:tcBorders>
              <w:top w:val="single" w:color="auto" w:sz="4" w:space="0"/>
              <w:left w:val="single" w:color="auto" w:sz="4" w:space="0"/>
              <w:bottom w:val="single" w:color="auto" w:sz="4" w:space="0"/>
              <w:right w:val="single" w:color="auto" w:sz="4" w:space="0"/>
            </w:tcBorders>
            <w:noWrap w:val="0"/>
            <w:vAlign w:val="top"/>
          </w:tcPr>
          <w:p w14:paraId="48F6DF32">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w:t>
            </w:r>
          </w:p>
        </w:tc>
        <w:tc>
          <w:tcPr>
            <w:tcW w:w="1911" w:type="dxa"/>
            <w:tcBorders>
              <w:top w:val="single" w:color="auto" w:sz="4" w:space="0"/>
              <w:left w:val="single" w:color="auto" w:sz="4" w:space="0"/>
              <w:bottom w:val="single" w:color="auto" w:sz="4" w:space="0"/>
              <w:right w:val="single" w:color="auto" w:sz="4" w:space="0"/>
            </w:tcBorders>
            <w:noWrap w:val="0"/>
            <w:vAlign w:val="top"/>
          </w:tcPr>
          <w:p w14:paraId="5B71C055">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台</w:t>
            </w:r>
          </w:p>
        </w:tc>
      </w:tr>
    </w:tbl>
    <w:p w14:paraId="51A47DA4">
      <w:pPr>
        <w:pStyle w:val="2"/>
        <w:bidi w:val="0"/>
        <w:jc w:val="center"/>
        <w:rPr>
          <w:rFonts w:hint="eastAsia"/>
          <w:b/>
          <w:bCs/>
          <w:szCs w:val="30"/>
          <w:lang w:val="en-US" w:eastAsia="zh-CN"/>
        </w:rPr>
      </w:pPr>
      <w:r>
        <w:rPr>
          <w:rFonts w:hint="eastAsia"/>
          <w:sz w:val="30"/>
          <w:szCs w:val="30"/>
          <w:lang w:eastAsia="zh-CN"/>
        </w:rPr>
        <w:t>（</w:t>
      </w:r>
      <w:r>
        <w:rPr>
          <w:rFonts w:hint="eastAsia"/>
          <w:sz w:val="30"/>
          <w:szCs w:val="30"/>
          <w:lang w:val="en-US" w:eastAsia="zh-CN"/>
        </w:rPr>
        <w:t>二</w:t>
      </w:r>
      <w:r>
        <w:rPr>
          <w:rFonts w:hint="eastAsia"/>
          <w:sz w:val="30"/>
          <w:szCs w:val="30"/>
          <w:lang w:eastAsia="zh-CN"/>
        </w:rPr>
        <w:t>）</w:t>
      </w:r>
      <w:r>
        <w:rPr>
          <w:rFonts w:hint="eastAsia"/>
          <w:sz w:val="30"/>
          <w:szCs w:val="30"/>
          <w:lang w:val="en-US" w:eastAsia="zh-CN"/>
        </w:rPr>
        <w:t>采购内容</w:t>
      </w:r>
      <w:bookmarkEnd w:id="0"/>
      <w:bookmarkEnd w:id="1"/>
    </w:p>
    <w:p w14:paraId="0061C4B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kern w:val="2"/>
          <w:sz w:val="28"/>
          <w:szCs w:val="28"/>
        </w:rPr>
      </w:pPr>
      <w:r>
        <w:rPr>
          <w:rFonts w:hint="eastAsia" w:ascii="宋体" w:hAnsi="宋体" w:eastAsia="宋体" w:cs="宋体"/>
          <w:b/>
          <w:bCs w:val="0"/>
          <w:kern w:val="2"/>
          <w:sz w:val="28"/>
          <w:szCs w:val="28"/>
          <w:lang w:val="en-US" w:eastAsia="zh-CN" w:bidi="ar"/>
        </w:rPr>
        <w:t>一、电动排液器技术参数</w:t>
      </w:r>
    </w:p>
    <w:p w14:paraId="15335903">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1.1电动排液器功率：≤200W  电源220V</w:t>
      </w:r>
    </w:p>
    <w:p w14:paraId="399DF2F3">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1.2有电磁感应系统</w:t>
      </w:r>
    </w:p>
    <w:p w14:paraId="69145454">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1.3医疗废液收集罐车与电动排液器可以自动对接</w:t>
      </w:r>
    </w:p>
    <w:p w14:paraId="22864208">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1.4档位调节：可实现三档位调节</w:t>
      </w:r>
    </w:p>
    <w:p w14:paraId="2BA17770">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1.5清洗液不足可以语音提示功能</w:t>
      </w:r>
    </w:p>
    <w:p w14:paraId="7404B933">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1.6清洗液存储位置：内置排液器，无需外置</w:t>
      </w:r>
    </w:p>
    <w:p w14:paraId="488E2E8C">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b/>
          <w:bCs/>
          <w:kern w:val="2"/>
          <w:sz w:val="28"/>
          <w:szCs w:val="28"/>
          <w:lang w:val="en-US" w:eastAsia="zh-CN" w:bidi="ar"/>
        </w:rPr>
      </w:pPr>
      <w:r>
        <w:rPr>
          <w:rFonts w:hint="eastAsia" w:ascii="宋体" w:hAnsi="宋体" w:eastAsia="宋体" w:cs="宋体"/>
          <w:b/>
          <w:bCs/>
          <w:i w:val="0"/>
          <w:iCs w:val="0"/>
          <w:kern w:val="2"/>
          <w:sz w:val="28"/>
          <w:szCs w:val="28"/>
          <w:lang w:val="en-US" w:eastAsia="zh-CN" w:bidi="ar"/>
        </w:rPr>
        <w:t>1.7★</w:t>
      </w:r>
      <w:r>
        <w:rPr>
          <w:rFonts w:hint="eastAsia" w:ascii="宋体" w:hAnsi="宋体" w:eastAsia="宋体" w:cs="宋体"/>
          <w:b/>
          <w:bCs/>
          <w:kern w:val="2"/>
          <w:sz w:val="28"/>
          <w:szCs w:val="28"/>
          <w:lang w:val="en-US" w:eastAsia="zh-CN" w:bidi="ar"/>
        </w:rPr>
        <w:t>消毒功能：电动排液器设有消毒口，可通过电动排液器对医疗废液收集罐车消毒</w:t>
      </w:r>
    </w:p>
    <w:p w14:paraId="68116655">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kern w:val="2"/>
          <w:sz w:val="28"/>
          <w:szCs w:val="28"/>
          <w:lang w:val="en-US" w:eastAsia="zh-CN" w:bidi="ar"/>
        </w:rPr>
      </w:pPr>
      <w:r>
        <w:rPr>
          <w:rFonts w:hint="eastAsia" w:ascii="宋体" w:hAnsi="宋体" w:eastAsia="宋体" w:cs="宋体"/>
          <w:b/>
          <w:bCs/>
          <w:kern w:val="2"/>
          <w:sz w:val="28"/>
          <w:szCs w:val="28"/>
          <w:lang w:val="en-US" w:eastAsia="zh-CN" w:bidi="ar"/>
        </w:rPr>
        <w:t>二、医疗废液收集罐车技术参数</w:t>
      </w:r>
    </w:p>
    <w:p w14:paraId="7A67890D">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2.1医疗废液收集罐车电源：内置锂电池，对接电动排液器自动充电，无需人工外接充电</w:t>
      </w:r>
    </w:p>
    <w:p w14:paraId="19F3E99C">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2.2医疗废液收集罐车最大容量：≥20L</w:t>
      </w:r>
    </w:p>
    <w:p w14:paraId="340FE6CE">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 xml:space="preserve">2.3液位计量系统：全量程精度1.5%或50mL </w:t>
      </w:r>
    </w:p>
    <w:p w14:paraId="5A8EFB7A">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2.4数码显示屏及存储：有显示屏可以自动存储数据</w:t>
      </w:r>
    </w:p>
    <w:p w14:paraId="48BB4D15">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2.5电量显示功能</w:t>
      </w:r>
    </w:p>
    <w:p w14:paraId="1CAE371C">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2.6超液位电子预警功能：二级：90%音频报警，100%声光报警</w:t>
      </w:r>
    </w:p>
    <w:p w14:paraId="7186D814">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2.7进液端溢流保护装置：进液端防溢流物理装置</w:t>
      </w:r>
    </w:p>
    <w:p w14:paraId="48FE283E">
      <w:pPr>
        <w:keepNext w:val="0"/>
        <w:keepLines w:val="0"/>
        <w:widowControl w:val="0"/>
        <w:numPr>
          <w:ilvl w:val="0"/>
          <w:numId w:val="0"/>
        </w:numPr>
        <w:suppressLineNumbers w:val="0"/>
        <w:spacing w:before="0" w:beforeAutospacing="0" w:after="0" w:afterAutospacing="0" w:line="360" w:lineRule="auto"/>
        <w:ind w:leftChars="0" w:right="0" w:rightChars="0"/>
        <w:jc w:val="both"/>
        <w:rPr>
          <w:rFonts w:hint="eastAsia" w:ascii="宋体" w:hAnsi="宋体" w:eastAsia="宋体" w:cs="宋体"/>
          <w:b/>
          <w:bCs/>
          <w:kern w:val="2"/>
          <w:sz w:val="28"/>
          <w:szCs w:val="28"/>
        </w:rPr>
      </w:pPr>
      <w:r>
        <w:rPr>
          <w:rFonts w:hint="eastAsia" w:ascii="宋体" w:hAnsi="宋体" w:eastAsia="宋体" w:cs="宋体"/>
          <w:b/>
          <w:bCs/>
          <w:kern w:val="2"/>
          <w:sz w:val="28"/>
          <w:szCs w:val="28"/>
          <w:lang w:val="en-US" w:eastAsia="zh-CN" w:bidi="ar"/>
        </w:rPr>
        <w:t>2.8★负压端双重溢流保护结构：物理机构和电子结构双重保护</w:t>
      </w:r>
    </w:p>
    <w:p w14:paraId="45F592BB">
      <w:pPr>
        <w:rPr>
          <w:rFonts w:hint="eastAsia"/>
          <w:b/>
          <w:bCs/>
          <w:sz w:val="24"/>
          <w:szCs w:val="24"/>
          <w:lang w:val="en-US" w:eastAsia="zh-CN"/>
        </w:rPr>
      </w:pPr>
    </w:p>
    <w:p w14:paraId="4EC85714">
      <w:pPr>
        <w:rPr>
          <w:rFonts w:hint="eastAsia"/>
          <w:b/>
          <w:bCs/>
          <w:color w:val="FF0000"/>
          <w:sz w:val="28"/>
          <w:szCs w:val="28"/>
          <w:lang w:val="en-US" w:eastAsia="zh-CN"/>
        </w:rPr>
      </w:pPr>
      <w:r>
        <w:rPr>
          <w:rFonts w:hint="eastAsia"/>
          <w:b/>
          <w:bCs/>
          <w:color w:val="FF0000"/>
          <w:sz w:val="28"/>
          <w:szCs w:val="28"/>
          <w:lang w:val="en-US" w:eastAsia="zh-CN"/>
        </w:rPr>
        <w:t>注：</w:t>
      </w:r>
    </w:p>
    <w:p w14:paraId="001C145C">
      <w:pPr>
        <w:numPr>
          <w:ilvl w:val="0"/>
          <w:numId w:val="1"/>
        </w:numPr>
        <w:rPr>
          <w:rFonts w:hint="eastAsia"/>
          <w:b/>
          <w:bCs/>
          <w:color w:val="FF0000"/>
          <w:sz w:val="28"/>
          <w:szCs w:val="28"/>
          <w:lang w:eastAsia="zh-CN"/>
        </w:rPr>
      </w:pPr>
      <w:r>
        <w:rPr>
          <w:rFonts w:hint="eastAsia"/>
          <w:b/>
          <w:bCs/>
          <w:color w:val="FF0000"/>
          <w:sz w:val="28"/>
          <w:szCs w:val="28"/>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419FC4A7">
      <w:pPr>
        <w:rPr>
          <w:rFonts w:hint="eastAsia"/>
          <w:b/>
          <w:bCs/>
          <w:sz w:val="30"/>
          <w:szCs w:val="30"/>
          <w:lang w:eastAsia="zh-CN"/>
        </w:rPr>
      </w:pPr>
      <w:r>
        <w:rPr>
          <w:rFonts w:hint="eastAsia"/>
          <w:b/>
          <w:bCs/>
          <w:color w:val="FF0000"/>
          <w:sz w:val="28"/>
          <w:szCs w:val="28"/>
          <w:lang w:val="en-US" w:eastAsia="zh-CN"/>
        </w:rPr>
        <w:t>2</w:t>
      </w:r>
      <w:r>
        <w:rPr>
          <w:rFonts w:hint="eastAsia"/>
          <w:b/>
          <w:bCs/>
          <w:color w:val="FF0000"/>
          <w:sz w:val="28"/>
          <w:szCs w:val="28"/>
          <w:lang w:eastAsia="zh-CN"/>
        </w:rPr>
        <w:t>、供应商的响应文件中</w:t>
      </w:r>
      <w:r>
        <w:rPr>
          <w:rFonts w:hint="eastAsia"/>
          <w:b/>
          <w:bCs/>
          <w:color w:val="FF0000"/>
          <w:sz w:val="28"/>
          <w:szCs w:val="28"/>
          <w:lang w:val="en-US" w:eastAsia="zh-CN"/>
        </w:rPr>
        <w:t>其他用“★”标注的技术参数</w:t>
      </w:r>
      <w:r>
        <w:rPr>
          <w:rFonts w:hint="eastAsia"/>
          <w:b/>
          <w:bCs/>
          <w:color w:val="FF0000"/>
          <w:sz w:val="28"/>
          <w:szCs w:val="28"/>
          <w:lang w:eastAsia="zh-CN"/>
        </w:rPr>
        <w:t>提供的相关技术证明文件是指：医疗器械注册证、第三方检测报告、产品说明书、产品彩页，提供其中之一即可。</w:t>
      </w:r>
    </w:p>
    <w:p w14:paraId="12A1720F">
      <w:pPr>
        <w:jc w:val="center"/>
        <w:rPr>
          <w:rStyle w:val="6"/>
          <w:rFonts w:hint="eastAsia"/>
          <w:sz w:val="30"/>
          <w:szCs w:val="30"/>
          <w:lang w:val="en-US" w:eastAsia="zh-CN"/>
        </w:rPr>
      </w:pPr>
      <w:r>
        <w:rPr>
          <w:rStyle w:val="6"/>
          <w:rFonts w:hint="eastAsia"/>
          <w:sz w:val="30"/>
          <w:szCs w:val="30"/>
          <w:lang w:val="en-US" w:eastAsia="zh-CN"/>
        </w:rPr>
        <w:t>（三）商务要求</w:t>
      </w:r>
    </w:p>
    <w:p w14:paraId="3EEE84CB">
      <w:pPr>
        <w:ind w:firstLine="450" w:firstLineChars="150"/>
        <w:rPr>
          <w:sz w:val="30"/>
          <w:szCs w:val="30"/>
        </w:rPr>
      </w:pPr>
      <w:r>
        <w:rPr>
          <w:rFonts w:hint="eastAsia"/>
          <w:sz w:val="30"/>
          <w:szCs w:val="30"/>
        </w:rPr>
        <w:t>一、（本项目商务要求为不允许负偏离的实质性要求和条件）</w:t>
      </w:r>
    </w:p>
    <w:p w14:paraId="6CFAB966">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w:t>
      </w:r>
      <w:r>
        <w:rPr>
          <w:rFonts w:hint="eastAsia"/>
          <w:sz w:val="30"/>
          <w:szCs w:val="30"/>
          <w:lang w:eastAsia="zh-CN"/>
        </w:rPr>
        <w:t>评审小组</w:t>
      </w:r>
      <w:r>
        <w:rPr>
          <w:rFonts w:hint="eastAsia"/>
          <w:sz w:val="30"/>
          <w:szCs w:val="30"/>
        </w:rPr>
        <w:t>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14:paraId="5797B784">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2</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14:paraId="47CBE2C9">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.1本项目的特定资格要求：（供应商须提供相应的证明材料，否则视为资格性审查不通过）</w:t>
      </w:r>
    </w:p>
    <w:p w14:paraId="7362E310">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14:paraId="506F30A0">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17393C83">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.2供应商所报</w:t>
      </w:r>
      <w:r>
        <w:rPr>
          <w:rFonts w:hint="eastAsia" w:ascii="Times New Roman" w:hAnsi="Times New Roman" w:eastAsia="宋体" w:cs="Times New Roman"/>
          <w:b/>
          <w:bCs/>
          <w:color w:val="FF0000"/>
          <w:kern w:val="2"/>
          <w:sz w:val="30"/>
          <w:szCs w:val="30"/>
          <w:highlight w:val="yellow"/>
          <w:lang w:val="en-US" w:eastAsia="zh-CN" w:bidi="ar-SA"/>
        </w:rPr>
        <w:t>医疗废液收集装置（或医用吸引系统吸引器或闭合高负压引流系统）</w:t>
      </w:r>
      <w:r>
        <w:rPr>
          <w:rFonts w:hint="eastAsia" w:ascii="Times New Roman" w:hAnsi="Times New Roman" w:eastAsia="宋体" w:cs="Times New Roman"/>
          <w:b/>
          <w:bCs/>
          <w:kern w:val="2"/>
          <w:sz w:val="30"/>
          <w:szCs w:val="30"/>
          <w:highlight w:val="yellow"/>
          <w:lang w:val="en-US" w:eastAsia="zh-CN" w:bidi="ar-SA"/>
        </w:rPr>
        <w:t>的医疗器械注册证复印件（在有效期内）或【第一类医疗器械备案凭证扫描件和第一类医疗器械备案信息证明材料扫描件】。</w:t>
      </w:r>
    </w:p>
    <w:p w14:paraId="318D33F3">
      <w:pPr>
        <w:ind w:firstLine="450" w:firstLineChars="150"/>
        <w:rPr>
          <w:sz w:val="30"/>
          <w:szCs w:val="30"/>
        </w:rPr>
      </w:pPr>
      <w:r>
        <w:rPr>
          <w:rFonts w:hint="eastAsia"/>
          <w:sz w:val="30"/>
          <w:szCs w:val="30"/>
        </w:rPr>
        <w:t>3、技术支持</w:t>
      </w:r>
    </w:p>
    <w:p w14:paraId="4C46B0AE">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7F56E6FC">
      <w:pPr>
        <w:ind w:firstLine="450" w:firstLineChars="150"/>
        <w:rPr>
          <w:rFonts w:hint="eastAsia"/>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6B5DBBC7">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质保及售后服务：</w:t>
      </w:r>
    </w:p>
    <w:p w14:paraId="52B91574">
      <w:pPr>
        <w:ind w:firstLine="450" w:firstLineChars="150"/>
        <w:rPr>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成交供应商所报</w:t>
      </w:r>
      <w:r>
        <w:rPr>
          <w:rFonts w:hint="eastAsia" w:ascii="Times New Roman" w:hAnsi="Times New Roman" w:eastAsia="宋体" w:cs="Times New Roman"/>
          <w:sz w:val="30"/>
          <w:szCs w:val="30"/>
        </w:rPr>
        <w:t>货物须</w:t>
      </w:r>
      <w:r>
        <w:rPr>
          <w:rFonts w:hint="eastAsia" w:ascii="Times New Roman" w:hAnsi="Times New Roman" w:eastAsia="宋体" w:cs="Times New Roman"/>
          <w:sz w:val="30"/>
          <w:szCs w:val="30"/>
          <w:highlight w:val="yellow"/>
        </w:rPr>
        <w:t>提供至少3年的原厂质保服务</w:t>
      </w:r>
      <w:r>
        <w:rPr>
          <w:rFonts w:hint="eastAsia" w:ascii="Times New Roman" w:hAnsi="Times New Roman" w:eastAsia="宋体" w:cs="Times New Roman"/>
          <w:sz w:val="30"/>
          <w:szCs w:val="30"/>
        </w:rPr>
        <w:t>，所有质保费用均已包含在总报价中。</w:t>
      </w:r>
      <w:r>
        <w:rPr>
          <w:rFonts w:hint="eastAsia"/>
          <w:sz w:val="30"/>
          <w:szCs w:val="30"/>
          <w:lang w:eastAsia="zh-CN"/>
        </w:rPr>
        <w:t>质保期</w:t>
      </w:r>
      <w:r>
        <w:rPr>
          <w:rFonts w:hint="eastAsia"/>
          <w:sz w:val="30"/>
          <w:szCs w:val="30"/>
        </w:rPr>
        <w:t>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w:t>
      </w:r>
    </w:p>
    <w:p w14:paraId="352AF4FF">
      <w:pPr>
        <w:ind w:firstLine="450" w:firstLineChars="150"/>
        <w:rPr>
          <w:sz w:val="30"/>
          <w:szCs w:val="30"/>
        </w:rPr>
      </w:pPr>
      <w:r>
        <w:rPr>
          <w:rFonts w:hint="eastAsia"/>
          <w:sz w:val="30"/>
          <w:szCs w:val="30"/>
          <w:lang w:val="en-US" w:eastAsia="zh-CN"/>
        </w:rPr>
        <w:t>4</w:t>
      </w:r>
      <w:r>
        <w:rPr>
          <w:rFonts w:hint="eastAsia"/>
          <w:sz w:val="30"/>
          <w:szCs w:val="30"/>
        </w:rPr>
        <w:t>.2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522560B4">
      <w:pPr>
        <w:ind w:firstLine="450" w:firstLineChars="150"/>
        <w:rPr>
          <w:sz w:val="30"/>
          <w:szCs w:val="30"/>
        </w:rPr>
      </w:pPr>
      <w:r>
        <w:rPr>
          <w:rFonts w:hint="eastAsia"/>
          <w:sz w:val="30"/>
          <w:szCs w:val="30"/>
          <w:lang w:val="en-US" w:eastAsia="zh-CN"/>
        </w:rPr>
        <w:t>4</w:t>
      </w:r>
      <w:r>
        <w:rPr>
          <w:rFonts w:hint="eastAsia"/>
          <w:sz w:val="30"/>
          <w:szCs w:val="30"/>
        </w:rPr>
        <w:t>.3</w:t>
      </w:r>
      <w:r>
        <w:rPr>
          <w:rFonts w:hint="eastAsia" w:ascii="Times New Roman" w:hAnsi="Times New Roman" w:eastAsia="宋体" w:cs="Times New Roman"/>
          <w:sz w:val="30"/>
          <w:szCs w:val="30"/>
        </w:rPr>
        <w:t>售后服务响应时间：如货物出现质量问题，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须1小时内响应</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电话响应无法解决，</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必须在接报修电话24小时内到达现场并在48小时内解决问题。如不能解决的，</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需提供备品备件供采购人使用。质保期内如货物出现质量问题，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负责修复，对于无法修复的情况，</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负责更换。</w:t>
      </w:r>
    </w:p>
    <w:p w14:paraId="0C66B96C">
      <w:pPr>
        <w:ind w:firstLine="452" w:firstLineChars="150"/>
        <w:rPr>
          <w:rFonts w:hint="eastAsia"/>
          <w:b/>
          <w:bCs/>
          <w:sz w:val="30"/>
          <w:szCs w:val="30"/>
          <w:highlight w:val="yellow"/>
          <w:lang w:val="en-US" w:eastAsia="zh-CN"/>
        </w:rPr>
      </w:pPr>
      <w:r>
        <w:rPr>
          <w:rFonts w:hint="eastAsia"/>
          <w:b/>
          <w:bCs/>
          <w:sz w:val="30"/>
          <w:szCs w:val="30"/>
          <w:highlight w:val="yellow"/>
          <w:lang w:val="en-US" w:eastAsia="zh-CN"/>
        </w:rPr>
        <w:t>5、在成交后、供货前，成交供应商须提供≥90套的配套试机耗材（引流管）供采购人使用，费用均已包含在总报价中。</w:t>
      </w:r>
    </w:p>
    <w:p w14:paraId="2BFBD820">
      <w:pPr>
        <w:ind w:firstLine="450" w:firstLineChars="150"/>
        <w:rPr>
          <w:sz w:val="30"/>
          <w:szCs w:val="30"/>
        </w:rPr>
      </w:pPr>
      <w:r>
        <w:rPr>
          <w:rFonts w:hint="eastAsia"/>
          <w:sz w:val="30"/>
          <w:szCs w:val="30"/>
          <w:lang w:val="en-US" w:eastAsia="zh-CN"/>
        </w:rPr>
        <w:t>6</w:t>
      </w:r>
      <w:r>
        <w:rPr>
          <w:rFonts w:hint="eastAsia"/>
          <w:sz w:val="30"/>
          <w:szCs w:val="30"/>
        </w:rPr>
        <w:t>、培训：</w:t>
      </w:r>
      <w:bookmarkStart w:id="2" w:name="_GoBack"/>
      <w:bookmarkEnd w:id="2"/>
    </w:p>
    <w:p w14:paraId="0855E2FB">
      <w:pPr>
        <w:ind w:firstLine="450" w:firstLineChars="150"/>
        <w:rPr>
          <w:sz w:val="30"/>
          <w:szCs w:val="30"/>
        </w:rPr>
      </w:pPr>
      <w:r>
        <w:rPr>
          <w:rFonts w:hint="eastAsia"/>
          <w:sz w:val="30"/>
          <w:szCs w:val="30"/>
          <w:lang w:val="en-US" w:eastAsia="zh-CN"/>
        </w:rPr>
        <w:t>6</w:t>
      </w:r>
      <w:r>
        <w:rPr>
          <w:rFonts w:hint="eastAsia"/>
          <w:sz w:val="30"/>
          <w:szCs w:val="30"/>
        </w:rPr>
        <w:t>.1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62438749">
      <w:pPr>
        <w:ind w:firstLine="450" w:firstLineChars="150"/>
        <w:rPr>
          <w:sz w:val="30"/>
          <w:szCs w:val="30"/>
        </w:rPr>
      </w:pPr>
      <w:r>
        <w:rPr>
          <w:rFonts w:hint="eastAsia"/>
          <w:sz w:val="30"/>
          <w:szCs w:val="30"/>
          <w:lang w:val="en-US" w:eastAsia="zh-CN"/>
        </w:rPr>
        <w:t>6</w:t>
      </w:r>
      <w:r>
        <w:rPr>
          <w:rFonts w:hint="eastAsia"/>
          <w:sz w:val="30"/>
          <w:szCs w:val="30"/>
        </w:rPr>
        <w:t>.2现场培训能够根据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00A3EC83">
      <w:pPr>
        <w:ind w:firstLine="450" w:firstLineChars="150"/>
        <w:rPr>
          <w:sz w:val="30"/>
          <w:szCs w:val="30"/>
        </w:rPr>
      </w:pPr>
      <w:r>
        <w:rPr>
          <w:rFonts w:hint="eastAsia"/>
          <w:sz w:val="30"/>
          <w:szCs w:val="30"/>
          <w:lang w:val="en-US" w:eastAsia="zh-CN"/>
        </w:rPr>
        <w:t>6</w:t>
      </w:r>
      <w:r>
        <w:rPr>
          <w:rFonts w:hint="eastAsia"/>
          <w:sz w:val="30"/>
          <w:szCs w:val="30"/>
        </w:rPr>
        <w:t>.3培训费用包含在</w:t>
      </w:r>
      <w:r>
        <w:rPr>
          <w:rFonts w:hint="eastAsia"/>
          <w:sz w:val="30"/>
          <w:szCs w:val="30"/>
          <w:lang w:eastAsia="zh-CN"/>
        </w:rPr>
        <w:t>总报价</w:t>
      </w:r>
      <w:r>
        <w:rPr>
          <w:rFonts w:hint="eastAsia"/>
          <w:sz w:val="30"/>
          <w:szCs w:val="30"/>
        </w:rPr>
        <w:t>中。</w:t>
      </w:r>
    </w:p>
    <w:p w14:paraId="22B1C582">
      <w:pPr>
        <w:ind w:firstLine="452" w:firstLineChars="150"/>
        <w:rPr>
          <w:b/>
          <w:bCs/>
          <w:sz w:val="30"/>
          <w:szCs w:val="30"/>
          <w:highlight w:val="yellow"/>
        </w:rPr>
      </w:pPr>
      <w:r>
        <w:rPr>
          <w:rFonts w:hint="eastAsia"/>
          <w:b/>
          <w:bCs/>
          <w:sz w:val="30"/>
          <w:szCs w:val="30"/>
          <w:highlight w:val="yellow"/>
          <w:lang w:val="en-US" w:eastAsia="zh-CN"/>
        </w:rPr>
        <w:t>7</w:t>
      </w:r>
      <w:r>
        <w:rPr>
          <w:rFonts w:hint="eastAsia"/>
          <w:b/>
          <w:bCs/>
          <w:sz w:val="30"/>
          <w:szCs w:val="30"/>
          <w:highlight w:val="yellow"/>
        </w:rPr>
        <w:t>、供货期：自合同签订之日起30日内供货并安装调试完毕。</w:t>
      </w:r>
    </w:p>
    <w:p w14:paraId="733A9E46">
      <w:pPr>
        <w:ind w:firstLine="450" w:firstLineChars="150"/>
        <w:rPr>
          <w:sz w:val="30"/>
          <w:szCs w:val="30"/>
        </w:rPr>
      </w:pPr>
      <w:r>
        <w:rPr>
          <w:rFonts w:hint="eastAsia"/>
          <w:sz w:val="30"/>
          <w:szCs w:val="30"/>
          <w:lang w:val="en-US" w:eastAsia="zh-CN"/>
        </w:rPr>
        <w:t>8</w:t>
      </w:r>
      <w:r>
        <w:rPr>
          <w:rFonts w:hint="eastAsia"/>
          <w:sz w:val="30"/>
          <w:szCs w:val="30"/>
        </w:rPr>
        <w:t>、供货与安装地点：马鞍山市人民医院。</w:t>
      </w:r>
    </w:p>
    <w:p w14:paraId="19305DED">
      <w:pPr>
        <w:ind w:firstLine="450" w:firstLineChars="150"/>
        <w:rPr>
          <w:sz w:val="30"/>
          <w:szCs w:val="30"/>
        </w:rPr>
      </w:pPr>
      <w:r>
        <w:rPr>
          <w:rFonts w:hint="eastAsia"/>
          <w:sz w:val="30"/>
          <w:szCs w:val="30"/>
          <w:lang w:val="en-US" w:eastAsia="zh-CN"/>
        </w:rPr>
        <w:t>9</w:t>
      </w:r>
      <w:r>
        <w:rPr>
          <w:rFonts w:hint="eastAsia"/>
          <w:sz w:val="30"/>
          <w:szCs w:val="30"/>
        </w:rPr>
        <w:t xml:space="preserve">、验 </w:t>
      </w:r>
      <w:r>
        <w:rPr>
          <w:sz w:val="30"/>
          <w:szCs w:val="30"/>
        </w:rPr>
        <w:t xml:space="preserve"> </w:t>
      </w:r>
      <w:r>
        <w:rPr>
          <w:rFonts w:hint="eastAsia"/>
          <w:sz w:val="30"/>
          <w:szCs w:val="30"/>
        </w:rPr>
        <w:t>收：</w:t>
      </w:r>
    </w:p>
    <w:p w14:paraId="1202C6F3">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须约请相关部门和专家参加项目验收。所有需要质检部门进行检测才能使用的设备，投标报价中必须包含首次检测费用。</w:t>
      </w:r>
    </w:p>
    <w:p w14:paraId="4C7C6BAE">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198979B2">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3341FD21">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57BB97EB">
      <w:pPr>
        <w:ind w:firstLine="450" w:firstLineChars="150"/>
        <w:rPr>
          <w:rFonts w:hint="eastAsia" w:ascii="Times New Roman" w:hAnsi="Times New Roman" w:eastAsia="宋体" w:cs="Times New Roman"/>
          <w:sz w:val="30"/>
          <w:szCs w:val="30"/>
        </w:rPr>
      </w:pPr>
      <w:r>
        <w:rPr>
          <w:rFonts w:hint="eastAsia"/>
          <w:sz w:val="30"/>
          <w:szCs w:val="30"/>
          <w:lang w:val="en-US" w:eastAsia="zh-CN"/>
        </w:rPr>
        <w:t>9</w:t>
      </w:r>
      <w:r>
        <w:rPr>
          <w:rFonts w:hint="eastAsia"/>
          <w:sz w:val="30"/>
          <w:szCs w:val="30"/>
        </w:rPr>
        <w:t>.</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w:t>
      </w:r>
      <w:r>
        <w:rPr>
          <w:rFonts w:hint="eastAsia" w:ascii="Times New Roman" w:hAnsi="Times New Roman" w:eastAsia="宋体" w:cs="Times New Roman"/>
          <w:sz w:val="30"/>
          <w:szCs w:val="30"/>
        </w:rPr>
        <w:t>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若出现2次质量问题将取消供应商此次中标。</w:t>
      </w:r>
    </w:p>
    <w:p w14:paraId="525143CF">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2DE84CDB">
      <w:pPr>
        <w:ind w:firstLine="452" w:firstLineChars="150"/>
        <w:rPr>
          <w:b/>
          <w:bCs/>
          <w:sz w:val="30"/>
          <w:szCs w:val="30"/>
          <w:highlight w:val="yellow"/>
        </w:rPr>
      </w:pPr>
      <w:r>
        <w:rPr>
          <w:rFonts w:hint="eastAsia"/>
          <w:b/>
          <w:bCs/>
          <w:sz w:val="30"/>
          <w:szCs w:val="30"/>
          <w:highlight w:val="yellow"/>
          <w:lang w:val="en-US" w:eastAsia="zh-CN"/>
        </w:rPr>
        <w:t>10</w:t>
      </w:r>
      <w:r>
        <w:rPr>
          <w:rFonts w:hint="eastAsia"/>
          <w:b/>
          <w:bCs/>
          <w:sz w:val="30"/>
          <w:szCs w:val="30"/>
          <w:highlight w:val="yellow"/>
        </w:rPr>
        <w:t>、付款方式：</w:t>
      </w:r>
      <w:r>
        <w:rPr>
          <w:rFonts w:hint="eastAsia"/>
          <w:b/>
          <w:bCs/>
          <w:sz w:val="30"/>
          <w:szCs w:val="30"/>
          <w:highlight w:val="yellow"/>
          <w:lang w:eastAsia="zh-CN"/>
        </w:rPr>
        <w:t>成交供应商</w:t>
      </w:r>
      <w:r>
        <w:rPr>
          <w:rFonts w:hint="eastAsia"/>
          <w:b/>
          <w:bCs/>
          <w:sz w:val="30"/>
          <w:szCs w:val="30"/>
          <w:highlight w:val="yellow"/>
        </w:rPr>
        <w:t>完成交货及安装调试，</w:t>
      </w:r>
      <w:r>
        <w:rPr>
          <w:rFonts w:hint="eastAsia"/>
          <w:b/>
          <w:bCs/>
          <w:sz w:val="30"/>
          <w:szCs w:val="30"/>
          <w:highlight w:val="yellow"/>
          <w:lang w:eastAsia="zh-CN"/>
        </w:rPr>
        <w:t>采购人</w:t>
      </w:r>
      <w:r>
        <w:rPr>
          <w:rFonts w:hint="eastAsia"/>
          <w:b/>
          <w:bCs/>
          <w:sz w:val="30"/>
          <w:szCs w:val="30"/>
          <w:highlight w:val="yellow"/>
        </w:rPr>
        <w:t>验收合格后，一次性支付合同款100%，按医院财务流程汇款。</w:t>
      </w:r>
    </w:p>
    <w:p w14:paraId="1AACC361">
      <w:pPr>
        <w:ind w:firstLine="450" w:firstLineChars="150"/>
        <w:rPr>
          <w:sz w:val="30"/>
          <w:szCs w:val="30"/>
        </w:rPr>
      </w:pPr>
      <w:r>
        <w:rPr>
          <w:rFonts w:hint="eastAsia"/>
          <w:sz w:val="30"/>
          <w:szCs w:val="30"/>
          <w:lang w:val="en-US" w:eastAsia="zh-CN"/>
        </w:rPr>
        <w:t>11</w:t>
      </w:r>
      <w:r>
        <w:rPr>
          <w:rFonts w:hint="eastAsia"/>
          <w:sz w:val="30"/>
          <w:szCs w:val="30"/>
        </w:rPr>
        <w:t>、</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w:t>
      </w:r>
      <w:r>
        <w:rPr>
          <w:rFonts w:hint="eastAsia"/>
          <w:sz w:val="30"/>
          <w:szCs w:val="30"/>
          <w:lang w:eastAsia="zh-CN"/>
        </w:rPr>
        <w:t>质保期</w:t>
      </w:r>
      <w:r>
        <w:rPr>
          <w:rFonts w:hint="eastAsia"/>
          <w:sz w:val="30"/>
          <w:szCs w:val="30"/>
        </w:rPr>
        <w:t>内的维护维修费、培训费、验收费、其他费用（如包装费、仓储费、保管费、资料费、软件升级费以及完成本项目所需要的其他费用）及所有价内价外税金及合理利润等。</w:t>
      </w:r>
    </w:p>
    <w:p w14:paraId="763C687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537905BA"/>
    <w:rsid w:val="372B4DF8"/>
    <w:rsid w:val="537905BA"/>
    <w:rsid w:val="5E910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1 Char"/>
    <w:basedOn w:val="5"/>
    <w:link w:val="2"/>
    <w:qFormat/>
    <w:locked/>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2521</Words>
  <Characters>2611</Characters>
  <Lines>0</Lines>
  <Paragraphs>0</Paragraphs>
  <TotalTime>0</TotalTime>
  <ScaleCrop>false</ScaleCrop>
  <LinksUpToDate>false</LinksUpToDate>
  <CharactersWithSpaces>2617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2024-10-14T03:13:00Z</dcterms:created>
  <dc:creator>高杨</dc:creator>
  <cp:lastModifiedBy>高杨</cp:lastModifiedBy>
  <dcterms:modified xsi:type="dcterms:W3CDTF">2024-10-15T08:06:05Z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AAF271F4A2C84D82A074D69966A5939B_13</vt:lpwstr>
  </property>
</Properties>
</file>