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E23346">
      <w:pPr>
        <w:jc w:val="center"/>
        <w:rPr>
          <w:rFonts w:hint="eastAsia"/>
          <w:b/>
          <w:bCs/>
          <w:sz w:val="24"/>
          <w:szCs w:val="32"/>
          <w:lang w:val="en-US" w:eastAsia="zh-CN"/>
        </w:rPr>
      </w:pPr>
      <w:bookmarkStart w:id="0" w:name="_GoBack"/>
      <w:r>
        <w:rPr>
          <w:rFonts w:hint="eastAsia"/>
          <w:b/>
          <w:bCs/>
          <w:sz w:val="24"/>
          <w:szCs w:val="32"/>
          <w:lang w:val="en-US" w:eastAsia="zh-CN"/>
        </w:rPr>
        <w:t>马鞍山市人民医院本部口腔科牙椅负压系统采购安装项目参数</w:t>
      </w:r>
    </w:p>
    <w:p w14:paraId="544E64F6">
      <w:pPr>
        <w:rPr>
          <w:rFonts w:hint="eastAsia"/>
          <w:lang w:val="en-US" w:eastAsia="zh-CN"/>
        </w:rPr>
      </w:pPr>
    </w:p>
    <w:bookmarkEnd w:id="0"/>
    <w:p w14:paraId="7618F44F">
      <w:pPr>
        <w:rPr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资质要求</w:t>
      </w:r>
    </w:p>
    <w:p w14:paraId="0ECD7856">
      <w:pPr>
        <w:rPr>
          <w:rFonts w:asciiTheme="minorEastAsia" w:hAnsiTheme="minorEastAsia"/>
          <w:bCs/>
          <w:sz w:val="24"/>
        </w:rPr>
      </w:pPr>
      <w:r>
        <w:rPr>
          <w:rFonts w:hint="eastAsia" w:asciiTheme="minorEastAsia" w:hAnsiTheme="minorEastAsia"/>
          <w:bCs/>
          <w:sz w:val="24"/>
        </w:rPr>
        <w:t>1、二类医疗器械生产（经营）企业许可证。</w:t>
      </w:r>
    </w:p>
    <w:p w14:paraId="0143A2FC">
      <w:pPr>
        <w:rPr>
          <w:rFonts w:asciiTheme="minorEastAsia" w:hAnsiTheme="minorEastAsia"/>
          <w:bCs/>
          <w:sz w:val="24"/>
        </w:rPr>
      </w:pPr>
      <w:r>
        <w:rPr>
          <w:rFonts w:hint="eastAsia" w:asciiTheme="minorEastAsia" w:hAnsiTheme="minorEastAsia"/>
          <w:bCs/>
          <w:sz w:val="24"/>
        </w:rPr>
        <w:t>2、二类医疗经营备案凭证；凭证项目须有6857、6855（口腔设备及器具）备案编号。</w:t>
      </w:r>
    </w:p>
    <w:p w14:paraId="010CB8FF">
      <w:pPr>
        <w:rPr>
          <w:rFonts w:asciiTheme="minorEastAsia" w:hAnsiTheme="minorEastAsia"/>
          <w:bCs/>
          <w:sz w:val="24"/>
        </w:rPr>
      </w:pPr>
      <w:r>
        <w:rPr>
          <w:rFonts w:hint="eastAsia" w:asciiTheme="minorEastAsia" w:hAnsiTheme="minorEastAsia"/>
          <w:bCs/>
          <w:sz w:val="24"/>
        </w:rPr>
        <w:t>3、技术人员应具有：（低压）电工操作证、高处安装维护操作证、热熔与切割操作证、真空泵维护修理培训证书与售后服务管理师证书。</w:t>
      </w:r>
    </w:p>
    <w:p w14:paraId="33040E20">
      <w:pPr>
        <w:rPr>
          <w:rFonts w:asciiTheme="minorEastAsia" w:hAnsiTheme="minorEastAsia"/>
          <w:bCs/>
          <w:sz w:val="24"/>
        </w:rPr>
      </w:pPr>
      <w:r>
        <w:rPr>
          <w:rFonts w:hint="eastAsia" w:asciiTheme="minorEastAsia" w:hAnsiTheme="minorEastAsia"/>
          <w:bCs/>
          <w:sz w:val="24"/>
        </w:rPr>
        <w:t>4、项目拟派的技术负责人具有工程类中级以上（含中级）工程师职称的证书</w:t>
      </w:r>
    </w:p>
    <w:p w14:paraId="5D3187C3">
      <w:pPr>
        <w:rPr>
          <w:rFonts w:hint="default"/>
          <w:lang w:val="en-US" w:eastAsia="zh-CN"/>
        </w:rPr>
      </w:pPr>
    </w:p>
    <w:p w14:paraId="42FF27AC">
      <w:pPr>
        <w:rPr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商务要求</w:t>
      </w:r>
    </w:p>
    <w:p w14:paraId="687F926A">
      <w:pPr>
        <w:rPr>
          <w:rFonts w:asciiTheme="minorEastAsia" w:hAnsiTheme="minorEastAsia"/>
          <w:bCs/>
          <w:sz w:val="24"/>
        </w:rPr>
      </w:pPr>
      <w:r>
        <w:rPr>
          <w:rFonts w:hint="eastAsia" w:asciiTheme="minorEastAsia" w:hAnsiTheme="minorEastAsia"/>
          <w:bCs/>
          <w:sz w:val="24"/>
        </w:rPr>
        <w:t>1、整体质保期1年；</w:t>
      </w:r>
    </w:p>
    <w:p w14:paraId="357C1BB7">
      <w:pPr>
        <w:rPr>
          <w:rFonts w:asciiTheme="minorEastAsia" w:hAnsiTheme="minorEastAsia"/>
          <w:bCs/>
          <w:sz w:val="24"/>
        </w:rPr>
      </w:pPr>
      <w:r>
        <w:rPr>
          <w:rFonts w:hint="eastAsia" w:asciiTheme="minorEastAsia" w:hAnsiTheme="minorEastAsia"/>
          <w:bCs/>
          <w:sz w:val="24"/>
        </w:rPr>
        <w:t>2、质保期内配置人员24小时上门免费维修（设立维修电话）</w:t>
      </w:r>
    </w:p>
    <w:p w14:paraId="6A7B409F">
      <w:pPr>
        <w:rPr>
          <w:rFonts w:asciiTheme="minorEastAsia" w:hAnsiTheme="minorEastAsia"/>
          <w:bCs/>
          <w:sz w:val="24"/>
        </w:rPr>
      </w:pPr>
      <w:r>
        <w:rPr>
          <w:rFonts w:hint="eastAsia" w:asciiTheme="minorEastAsia" w:hAnsiTheme="minorEastAsia"/>
          <w:bCs/>
          <w:sz w:val="24"/>
        </w:rPr>
        <w:t>3、所投报价含税费、运输费、安装费、环境基建改造等费用。</w:t>
      </w:r>
    </w:p>
    <w:p w14:paraId="3D62C39C">
      <w:pPr>
        <w:rPr>
          <w:rFonts w:hint="eastAsia" w:asciiTheme="minorEastAsia" w:hAnsiTheme="minorEastAsia"/>
          <w:bCs/>
          <w:sz w:val="24"/>
          <w:lang w:val="en-US" w:eastAsia="zh-CN"/>
        </w:rPr>
      </w:pPr>
      <w:r>
        <w:rPr>
          <w:rFonts w:hint="eastAsia" w:asciiTheme="minorEastAsia" w:hAnsiTheme="minorEastAsia"/>
          <w:bCs/>
          <w:sz w:val="24"/>
          <w:lang w:val="en-US" w:eastAsia="zh-CN"/>
        </w:rPr>
        <w:t>4、最高限价10.68万元。</w:t>
      </w:r>
    </w:p>
    <w:p w14:paraId="23C8267C">
      <w:pPr>
        <w:rPr>
          <w:rFonts w:hint="default" w:eastAsiaTheme="minorEastAsia"/>
          <w:bCs/>
          <w:sz w:val="22"/>
          <w:szCs w:val="28"/>
          <w:lang w:val="en-US" w:eastAsia="zh-CN"/>
        </w:rPr>
      </w:pPr>
      <w:r>
        <w:rPr>
          <w:rFonts w:hint="eastAsia" w:asciiTheme="minorEastAsia" w:hAnsiTheme="minorEastAsia"/>
          <w:bCs/>
          <w:sz w:val="24"/>
          <w:lang w:val="en-US" w:eastAsia="zh-CN"/>
        </w:rPr>
        <w:t>5、中标方</w:t>
      </w:r>
      <w:r>
        <w:rPr>
          <w:rFonts w:hint="eastAsia"/>
          <w:bCs/>
          <w:sz w:val="22"/>
          <w:szCs w:val="28"/>
        </w:rPr>
        <w:t>负责抽吸机组的安装调试，运行前技术培训，运行后的定期设备检修及保养。</w:t>
      </w:r>
    </w:p>
    <w:p w14:paraId="295E5EA6">
      <w:pPr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采购内容</w:t>
      </w:r>
    </w:p>
    <w:p w14:paraId="5A73DA03">
      <w:pPr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1、口腔科现有牙椅19台，需要每台进行整改操作</w:t>
      </w:r>
    </w:p>
    <w:p w14:paraId="1F6F3B47">
      <w:pPr>
        <w:spacing w:before="266" w:line="185" w:lineRule="auto"/>
        <w:rPr>
          <w:rFonts w:hint="eastAsia" w:asciiTheme="minorEastAsia" w:hAnsiTheme="minorEastAsia" w:eastAsiaTheme="minorEastAsia"/>
          <w:sz w:val="24"/>
          <w:lang w:val="en-US" w:eastAsia="zh-CN"/>
        </w:rPr>
      </w:pPr>
      <w:r>
        <w:rPr>
          <w:rFonts w:hint="eastAsia" w:asciiTheme="minorEastAsia" w:hAnsiTheme="minorEastAsia"/>
          <w:sz w:val="24"/>
        </w:rPr>
        <w:t>2、口腔科设备需增加负压机一台，参数如下：</w:t>
      </w:r>
    </w:p>
    <w:p w14:paraId="79E2F7C3">
      <w:pPr>
        <w:rPr>
          <w:bCs/>
          <w:sz w:val="22"/>
          <w:szCs w:val="28"/>
        </w:rPr>
      </w:pPr>
      <w:r>
        <w:rPr>
          <w:rFonts w:hint="eastAsia"/>
          <w:bCs/>
          <w:sz w:val="22"/>
          <w:szCs w:val="28"/>
        </w:rPr>
        <w:t>1.设备名称：牙科电动抽吸系统</w:t>
      </w:r>
    </w:p>
    <w:p w14:paraId="10E1E45B">
      <w:pPr>
        <w:rPr>
          <w:bCs/>
          <w:sz w:val="22"/>
          <w:szCs w:val="28"/>
        </w:rPr>
      </w:pPr>
      <w:r>
        <w:rPr>
          <w:rFonts w:hint="eastAsia"/>
          <w:bCs/>
          <w:sz w:val="22"/>
          <w:szCs w:val="28"/>
        </w:rPr>
        <w:t>2. 数量：   1 套</w:t>
      </w:r>
    </w:p>
    <w:p w14:paraId="1CD58671">
      <w:pPr>
        <w:rPr>
          <w:bCs/>
          <w:sz w:val="22"/>
          <w:szCs w:val="28"/>
        </w:rPr>
      </w:pPr>
      <w:r>
        <w:rPr>
          <w:rFonts w:hint="eastAsia"/>
          <w:bCs/>
          <w:sz w:val="22"/>
          <w:szCs w:val="28"/>
        </w:rPr>
        <w:t>3. 设备用途：</w:t>
      </w:r>
    </w:p>
    <w:p w14:paraId="7E567616">
      <w:pPr>
        <w:rPr>
          <w:bCs/>
          <w:sz w:val="22"/>
          <w:szCs w:val="28"/>
        </w:rPr>
      </w:pPr>
      <w:r>
        <w:rPr>
          <w:rFonts w:hint="eastAsia"/>
          <w:bCs/>
          <w:sz w:val="22"/>
          <w:szCs w:val="28"/>
        </w:rPr>
        <w:t>提供牙椅负压抽吸牙科口内抽吸的动力源及处理设备，与牙科椅位上的抽吸装置通过管道相连接，对牙科治疗区域内的喷雾、唾液、血液等进行抽吸，提高治疗区域可视度，避免病人的吞咽反射，从而使治疗过程无须中断。</w:t>
      </w:r>
    </w:p>
    <w:p w14:paraId="17575745">
      <w:pPr>
        <w:rPr>
          <w:bCs/>
          <w:sz w:val="22"/>
          <w:szCs w:val="28"/>
        </w:rPr>
      </w:pPr>
      <w:r>
        <w:rPr>
          <w:rFonts w:hint="eastAsia"/>
          <w:bCs/>
          <w:sz w:val="22"/>
          <w:szCs w:val="28"/>
        </w:rPr>
        <w:t>4 技术规格及要求：</w:t>
      </w:r>
    </w:p>
    <w:p w14:paraId="7A4C6977">
      <w:pPr>
        <w:rPr>
          <w:bCs/>
          <w:sz w:val="22"/>
          <w:szCs w:val="28"/>
        </w:rPr>
      </w:pPr>
      <w:r>
        <w:rPr>
          <w:rFonts w:hint="eastAsia"/>
          <w:bCs/>
          <w:sz w:val="22"/>
          <w:szCs w:val="28"/>
        </w:rPr>
        <w:t>4.1 工作条件</w:t>
      </w:r>
    </w:p>
    <w:p w14:paraId="2915C385">
      <w:pPr>
        <w:rPr>
          <w:bCs/>
          <w:sz w:val="22"/>
          <w:szCs w:val="28"/>
        </w:rPr>
      </w:pPr>
      <w:r>
        <w:rPr>
          <w:rFonts w:hint="eastAsia"/>
          <w:bCs/>
          <w:sz w:val="22"/>
          <w:szCs w:val="28"/>
        </w:rPr>
        <w:t>4.1.1 环境条件</w:t>
      </w:r>
    </w:p>
    <w:p w14:paraId="577AE164">
      <w:pPr>
        <w:rPr>
          <w:bCs/>
          <w:sz w:val="22"/>
          <w:szCs w:val="28"/>
        </w:rPr>
      </w:pPr>
      <w:r>
        <w:rPr>
          <w:rFonts w:hint="eastAsia"/>
          <w:bCs/>
          <w:sz w:val="22"/>
          <w:szCs w:val="28"/>
        </w:rPr>
        <w:t>环境温度： 5 ℃～40℃、相对湿度：≤70%、大气压力： 86～106kpa  通风流量</w:t>
      </w:r>
    </w:p>
    <w:p w14:paraId="315EF836">
      <w:pPr>
        <w:rPr>
          <w:bCs/>
          <w:sz w:val="22"/>
          <w:szCs w:val="28"/>
        </w:rPr>
      </w:pPr>
      <w:r>
        <w:rPr>
          <w:rFonts w:hint="eastAsia"/>
          <w:bCs/>
          <w:sz w:val="22"/>
          <w:szCs w:val="28"/>
        </w:rPr>
        <w:t>≥0.4m³/s</w:t>
      </w:r>
    </w:p>
    <w:p w14:paraId="0E41CE4B">
      <w:pPr>
        <w:rPr>
          <w:rFonts w:hint="eastAsia"/>
          <w:bCs/>
          <w:sz w:val="22"/>
          <w:szCs w:val="28"/>
        </w:rPr>
      </w:pPr>
      <w:r>
        <w:rPr>
          <w:rFonts w:hint="eastAsia"/>
          <w:bCs/>
          <w:sz w:val="22"/>
          <w:szCs w:val="28"/>
        </w:rPr>
        <w:t>4.1.2 设备参数</w:t>
      </w:r>
    </w:p>
    <w:tbl>
      <w:tblPr>
        <w:tblStyle w:val="3"/>
        <w:tblW w:w="88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5"/>
        <w:gridCol w:w="4455"/>
      </w:tblGrid>
      <w:tr w14:paraId="5969FF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65" w:type="dxa"/>
            <w:vAlign w:val="center"/>
          </w:tcPr>
          <w:p w14:paraId="4EE4983E">
            <w:pPr>
              <w:rPr>
                <w:rFonts w:ascii="宋体" w:hAnsi="宋体"/>
                <w:color w:val="000000"/>
              </w:rPr>
            </w:pPr>
            <w:r>
              <w:rPr>
                <w:rFonts w:ascii="Calibri" w:hAnsi="Calibri"/>
                <w:szCs w:val="21"/>
              </w:rPr>
              <w:t>Suction capacity</w:t>
            </w:r>
            <w:r>
              <w:rPr>
                <w:rFonts w:hint="eastAsia" w:ascii="宋体" w:hAnsi="宋体"/>
                <w:color w:val="000000"/>
              </w:rPr>
              <w:t xml:space="preserve">抽吸量： </w:t>
            </w:r>
          </w:p>
        </w:tc>
        <w:tc>
          <w:tcPr>
            <w:tcW w:w="4455" w:type="dxa"/>
            <w:vAlign w:val="center"/>
          </w:tcPr>
          <w:p w14:paraId="3D8C8F0B">
            <w:pPr>
              <w:autoSpaceDE w:val="0"/>
              <w:autoSpaceDN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3.0m³/min </w:t>
            </w:r>
          </w:p>
        </w:tc>
      </w:tr>
      <w:tr w14:paraId="23B887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65" w:type="dxa"/>
            <w:vAlign w:val="center"/>
          </w:tcPr>
          <w:p w14:paraId="135C8754">
            <w:pPr>
              <w:pStyle w:val="2"/>
              <w:widowControl/>
              <w:spacing w:before="0" w:beforeAutospacing="0" w:after="150" w:afterAutospacing="0" w:line="360" w:lineRule="auto"/>
              <w:rPr>
                <w:rFonts w:ascii="Calibri" w:hAnsi="Calibri"/>
                <w:kern w:val="2"/>
                <w:sz w:val="21"/>
                <w:szCs w:val="21"/>
              </w:rPr>
            </w:pPr>
            <w:r>
              <w:rPr>
                <w:rFonts w:ascii="Calibri" w:hAnsi="Calibri"/>
                <w:kern w:val="2"/>
                <w:sz w:val="21"/>
                <w:szCs w:val="21"/>
              </w:rPr>
              <w:t>vacuum degree</w:t>
            </w:r>
            <w:r>
              <w:rPr>
                <w:rFonts w:hint="eastAsia" w:ascii="Calibri" w:hAnsi="Calibri"/>
                <w:kern w:val="2"/>
                <w:sz w:val="21"/>
                <w:szCs w:val="21"/>
              </w:rPr>
              <w:t xml:space="preserve">真空度： </w:t>
            </w:r>
          </w:p>
        </w:tc>
        <w:tc>
          <w:tcPr>
            <w:tcW w:w="4455" w:type="dxa"/>
            <w:vAlign w:val="center"/>
          </w:tcPr>
          <w:p w14:paraId="76C52023">
            <w:pPr>
              <w:autoSpaceDE w:val="0"/>
              <w:autoSpaceDN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≥-16</w:t>
            </w:r>
            <w:r>
              <w:rPr>
                <w:rFonts w:ascii="宋体" w:hAnsi="宋体"/>
                <w:color w:val="000000"/>
                <w:szCs w:val="21"/>
              </w:rPr>
              <w:t>K</w:t>
            </w:r>
            <w:r>
              <w:rPr>
                <w:rFonts w:hint="eastAsia" w:ascii="宋体" w:hAnsi="宋体"/>
                <w:color w:val="000000"/>
                <w:szCs w:val="21"/>
              </w:rPr>
              <w:t xml:space="preserve">pa </w:t>
            </w:r>
          </w:p>
        </w:tc>
      </w:tr>
      <w:tr w14:paraId="0D917E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65" w:type="dxa"/>
            <w:vAlign w:val="center"/>
          </w:tcPr>
          <w:p w14:paraId="01672C2E">
            <w:pPr>
              <w:autoSpaceDE w:val="0"/>
              <w:autoSpaceDN w:val="0"/>
              <w:rPr>
                <w:rFonts w:ascii="Calibri" w:hAnsi="Calibri"/>
                <w:szCs w:val="21"/>
              </w:rPr>
            </w:pPr>
            <w:r>
              <w:rPr>
                <w:rFonts w:ascii="Calibri" w:hAnsi="Calibri"/>
                <w:szCs w:val="21"/>
              </w:rPr>
              <w:t>Motor Nominal power 电机名义功率</w:t>
            </w:r>
            <w:r>
              <w:rPr>
                <w:rFonts w:hint="eastAsia" w:ascii="Calibri" w:hAnsi="Calibri"/>
                <w:szCs w:val="21"/>
              </w:rPr>
              <w:t xml:space="preserve">： </w:t>
            </w:r>
          </w:p>
        </w:tc>
        <w:tc>
          <w:tcPr>
            <w:tcW w:w="4455" w:type="dxa"/>
            <w:vAlign w:val="center"/>
          </w:tcPr>
          <w:p w14:paraId="0A6FD9EC">
            <w:pPr>
              <w:autoSpaceDE w:val="0"/>
              <w:autoSpaceDN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3.4 kW</w:t>
            </w:r>
          </w:p>
        </w:tc>
      </w:tr>
      <w:tr w14:paraId="62836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65" w:type="dxa"/>
            <w:vAlign w:val="center"/>
          </w:tcPr>
          <w:p w14:paraId="4CE30A08">
            <w:pPr>
              <w:pStyle w:val="2"/>
              <w:widowControl/>
              <w:spacing w:before="0" w:beforeAutospacing="0" w:after="150" w:afterAutospacing="0" w:line="360" w:lineRule="auto"/>
              <w:rPr>
                <w:rFonts w:ascii="Calibri" w:hAnsi="Calibri"/>
                <w:kern w:val="2"/>
                <w:sz w:val="21"/>
                <w:szCs w:val="21"/>
              </w:rPr>
            </w:pPr>
            <w:r>
              <w:rPr>
                <w:rFonts w:ascii="Calibri" w:hAnsi="Calibri"/>
                <w:kern w:val="2"/>
                <w:sz w:val="21"/>
                <w:szCs w:val="21"/>
              </w:rPr>
              <w:t>Motor speed</w:t>
            </w:r>
            <w:r>
              <w:rPr>
                <w:rFonts w:hint="eastAsia" w:ascii="Calibri" w:hAnsi="Calibri"/>
                <w:kern w:val="2"/>
                <w:sz w:val="21"/>
                <w:szCs w:val="21"/>
              </w:rPr>
              <w:t xml:space="preserve">电机转速： </w:t>
            </w:r>
          </w:p>
        </w:tc>
        <w:tc>
          <w:tcPr>
            <w:tcW w:w="4455" w:type="dxa"/>
            <w:vAlign w:val="center"/>
          </w:tcPr>
          <w:p w14:paraId="280D1806">
            <w:pPr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         2800 r/min </w:t>
            </w:r>
          </w:p>
        </w:tc>
      </w:tr>
      <w:tr w14:paraId="60EC75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65" w:type="dxa"/>
            <w:vAlign w:val="center"/>
          </w:tcPr>
          <w:p w14:paraId="3A902612">
            <w:pPr>
              <w:pStyle w:val="2"/>
              <w:widowControl/>
              <w:spacing w:before="0" w:beforeAutospacing="0" w:after="150" w:afterAutospacing="0" w:line="360" w:lineRule="auto"/>
              <w:rPr>
                <w:rFonts w:ascii="Calibri" w:hAnsi="Calibri"/>
                <w:kern w:val="2"/>
                <w:sz w:val="21"/>
                <w:szCs w:val="21"/>
              </w:rPr>
            </w:pPr>
            <w:r>
              <w:rPr>
                <w:rFonts w:ascii="Calibri" w:hAnsi="Calibri"/>
                <w:kern w:val="2"/>
                <w:sz w:val="21"/>
                <w:szCs w:val="21"/>
              </w:rPr>
              <w:t xml:space="preserve">Voltage/frequency </w:t>
            </w:r>
            <w:r>
              <w:rPr>
                <w:rFonts w:hint="eastAsia" w:ascii="Calibri" w:hAnsi="Calibri"/>
                <w:kern w:val="2"/>
                <w:sz w:val="21"/>
                <w:szCs w:val="21"/>
              </w:rPr>
              <w:t xml:space="preserve">电压/频率： </w:t>
            </w:r>
          </w:p>
        </w:tc>
        <w:tc>
          <w:tcPr>
            <w:tcW w:w="4455" w:type="dxa"/>
            <w:vAlign w:val="center"/>
          </w:tcPr>
          <w:p w14:paraId="735F0352">
            <w:pPr>
              <w:autoSpaceDE w:val="0"/>
              <w:autoSpaceDN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220V/380V/50HZ </w:t>
            </w:r>
          </w:p>
        </w:tc>
      </w:tr>
      <w:tr w14:paraId="52428E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65" w:type="dxa"/>
            <w:vAlign w:val="center"/>
          </w:tcPr>
          <w:p w14:paraId="613A1FC8">
            <w:pPr>
              <w:pStyle w:val="2"/>
              <w:widowControl/>
              <w:spacing w:before="0" w:beforeAutospacing="0" w:after="150" w:afterAutospacing="0" w:line="360" w:lineRule="auto"/>
              <w:rPr>
                <w:rFonts w:ascii="Calibri" w:hAnsi="Calibri"/>
                <w:kern w:val="2"/>
                <w:sz w:val="21"/>
                <w:szCs w:val="21"/>
              </w:rPr>
            </w:pPr>
            <w:r>
              <w:rPr>
                <w:rFonts w:ascii="Calibri" w:hAnsi="Calibri"/>
                <w:kern w:val="2"/>
                <w:sz w:val="21"/>
                <w:szCs w:val="21"/>
              </w:rPr>
              <w:t xml:space="preserve">Motor protection grade/insulation class </w:t>
            </w:r>
            <w:r>
              <w:rPr>
                <w:rFonts w:hint="eastAsia" w:ascii="Calibri" w:hAnsi="Calibri"/>
                <w:kern w:val="2"/>
                <w:sz w:val="21"/>
                <w:szCs w:val="21"/>
              </w:rPr>
              <w:t xml:space="preserve">电机防护等级/绝缘等级： </w:t>
            </w:r>
          </w:p>
        </w:tc>
        <w:tc>
          <w:tcPr>
            <w:tcW w:w="4455" w:type="dxa"/>
            <w:vAlign w:val="center"/>
          </w:tcPr>
          <w:p w14:paraId="13820EC7">
            <w:pPr>
              <w:autoSpaceDE w:val="0"/>
              <w:autoSpaceDN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IP54 / F </w:t>
            </w:r>
          </w:p>
        </w:tc>
      </w:tr>
      <w:tr w14:paraId="7D1E93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65" w:type="dxa"/>
            <w:vAlign w:val="center"/>
          </w:tcPr>
          <w:p w14:paraId="39FAC4E3">
            <w:pPr>
              <w:pStyle w:val="2"/>
              <w:widowControl/>
              <w:spacing w:before="0" w:beforeAutospacing="0" w:after="150" w:afterAutospacing="0" w:line="360" w:lineRule="auto"/>
              <w:rPr>
                <w:rFonts w:ascii="Calibri" w:hAnsi="Calibri"/>
                <w:kern w:val="2"/>
                <w:sz w:val="21"/>
                <w:szCs w:val="21"/>
              </w:rPr>
            </w:pPr>
            <w:r>
              <w:rPr>
                <w:rFonts w:ascii="Calibri" w:hAnsi="Calibri"/>
                <w:kern w:val="2"/>
                <w:sz w:val="21"/>
                <w:szCs w:val="21"/>
              </w:rPr>
              <w:t xml:space="preserve">Drive way </w:t>
            </w:r>
            <w:r>
              <w:rPr>
                <w:rFonts w:hint="eastAsia" w:ascii="Calibri" w:hAnsi="Calibri"/>
                <w:kern w:val="2"/>
                <w:sz w:val="21"/>
                <w:szCs w:val="21"/>
              </w:rPr>
              <w:t xml:space="preserve">驱动方式： </w:t>
            </w:r>
          </w:p>
        </w:tc>
        <w:tc>
          <w:tcPr>
            <w:tcW w:w="4455" w:type="dxa"/>
            <w:vAlign w:val="center"/>
          </w:tcPr>
          <w:p w14:paraId="4789CEDA">
            <w:pPr>
              <w:autoSpaceDE w:val="0"/>
              <w:autoSpaceDN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直联 </w:t>
            </w:r>
          </w:p>
        </w:tc>
      </w:tr>
      <w:tr w14:paraId="2FFFE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65" w:type="dxa"/>
            <w:vAlign w:val="center"/>
          </w:tcPr>
          <w:p w14:paraId="71213F2C">
            <w:pPr>
              <w:pStyle w:val="2"/>
              <w:widowControl/>
              <w:spacing w:before="0" w:beforeAutospacing="0" w:after="150" w:afterAutospacing="0" w:line="360" w:lineRule="auto"/>
              <w:rPr>
                <w:rFonts w:ascii="Calibri" w:hAnsi="Calibri"/>
                <w:kern w:val="2"/>
                <w:sz w:val="21"/>
                <w:szCs w:val="21"/>
              </w:rPr>
            </w:pPr>
            <w:r>
              <w:rPr>
                <w:rFonts w:ascii="Calibri" w:hAnsi="Calibri"/>
                <w:kern w:val="2"/>
                <w:sz w:val="21"/>
                <w:szCs w:val="21"/>
              </w:rPr>
              <w:t>Noise</w:t>
            </w:r>
            <w:r>
              <w:rPr>
                <w:rFonts w:hint="eastAsia" w:ascii="Calibri" w:hAnsi="Calibri"/>
                <w:kern w:val="2"/>
                <w:sz w:val="21"/>
                <w:szCs w:val="21"/>
              </w:rPr>
              <w:t xml:space="preserve"> of 1m 1米处噪音值： </w:t>
            </w:r>
          </w:p>
        </w:tc>
        <w:tc>
          <w:tcPr>
            <w:tcW w:w="4455" w:type="dxa"/>
            <w:vAlign w:val="center"/>
          </w:tcPr>
          <w:p w14:paraId="1B5EB87F">
            <w:pPr>
              <w:autoSpaceDE w:val="0"/>
              <w:autoSpaceDN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65±3 dB(A) </w:t>
            </w:r>
          </w:p>
        </w:tc>
      </w:tr>
      <w:tr w14:paraId="1047F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65" w:type="dxa"/>
            <w:vAlign w:val="center"/>
          </w:tcPr>
          <w:p w14:paraId="7A8322F8">
            <w:pPr>
              <w:pStyle w:val="2"/>
              <w:widowControl/>
              <w:spacing w:before="0" w:beforeAutospacing="0" w:after="150" w:afterAutospacing="0" w:line="360" w:lineRule="auto"/>
              <w:rPr>
                <w:rFonts w:ascii="Calibri" w:hAnsi="Calibri"/>
                <w:kern w:val="2"/>
                <w:sz w:val="21"/>
                <w:szCs w:val="21"/>
              </w:rPr>
            </w:pPr>
            <w:r>
              <w:rPr>
                <w:rFonts w:ascii="Calibri" w:hAnsi="Calibri"/>
                <w:kern w:val="2"/>
                <w:sz w:val="21"/>
                <w:szCs w:val="21"/>
              </w:rPr>
              <w:t>Cooling method 冷却方式</w:t>
            </w:r>
            <w:r>
              <w:rPr>
                <w:rFonts w:hint="eastAsia" w:ascii="Calibri" w:hAnsi="Calibri"/>
                <w:kern w:val="2"/>
                <w:sz w:val="21"/>
                <w:szCs w:val="21"/>
              </w:rPr>
              <w:t xml:space="preserve">： </w:t>
            </w:r>
          </w:p>
        </w:tc>
        <w:tc>
          <w:tcPr>
            <w:tcW w:w="4455" w:type="dxa"/>
            <w:vAlign w:val="center"/>
          </w:tcPr>
          <w:p w14:paraId="4786CB39">
            <w:pPr>
              <w:autoSpaceDE w:val="0"/>
              <w:autoSpaceDN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风冷 </w:t>
            </w:r>
          </w:p>
        </w:tc>
      </w:tr>
      <w:tr w14:paraId="1B443C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65" w:type="dxa"/>
            <w:vAlign w:val="center"/>
          </w:tcPr>
          <w:p w14:paraId="397E3808">
            <w:pPr>
              <w:pStyle w:val="2"/>
              <w:widowControl/>
              <w:spacing w:before="0" w:beforeAutospacing="0" w:after="150" w:afterAutospacing="0" w:line="360" w:lineRule="auto"/>
              <w:rPr>
                <w:rFonts w:ascii="Calibri" w:hAnsi="Calibri"/>
                <w:kern w:val="2"/>
                <w:sz w:val="21"/>
                <w:szCs w:val="21"/>
              </w:rPr>
            </w:pPr>
            <w:r>
              <w:rPr>
                <w:rFonts w:ascii="Calibri" w:hAnsi="Calibri"/>
                <w:kern w:val="2"/>
                <w:sz w:val="21"/>
                <w:szCs w:val="21"/>
              </w:rPr>
              <w:t xml:space="preserve">Start the way </w:t>
            </w:r>
            <w:r>
              <w:rPr>
                <w:rFonts w:hint="eastAsia" w:ascii="Calibri" w:hAnsi="Calibri"/>
                <w:kern w:val="2"/>
                <w:sz w:val="21"/>
                <w:szCs w:val="21"/>
              </w:rPr>
              <w:t xml:space="preserve">自动启动方式： </w:t>
            </w:r>
          </w:p>
        </w:tc>
        <w:tc>
          <w:tcPr>
            <w:tcW w:w="4455" w:type="dxa"/>
            <w:vAlign w:val="center"/>
          </w:tcPr>
          <w:p w14:paraId="04E103EC">
            <w:pPr>
              <w:autoSpaceDE w:val="0"/>
              <w:autoSpaceDN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Y-△ </w:t>
            </w:r>
          </w:p>
        </w:tc>
      </w:tr>
      <w:tr w14:paraId="5B5E5E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65" w:type="dxa"/>
            <w:vAlign w:val="center"/>
          </w:tcPr>
          <w:p w14:paraId="3E563ECA">
            <w:pPr>
              <w:pStyle w:val="2"/>
              <w:widowControl/>
              <w:spacing w:before="0" w:beforeAutospacing="0" w:after="150" w:afterAutospacing="0" w:line="360" w:lineRule="auto"/>
              <w:rPr>
                <w:rFonts w:ascii="Calibri" w:hAnsi="Calibri"/>
                <w:kern w:val="2"/>
                <w:sz w:val="21"/>
                <w:szCs w:val="21"/>
              </w:rPr>
            </w:pPr>
            <w:r>
              <w:rPr>
                <w:rFonts w:ascii="Calibri" w:hAnsi="Calibri"/>
                <w:kern w:val="2"/>
                <w:sz w:val="21"/>
                <w:szCs w:val="21"/>
              </w:rPr>
              <w:t xml:space="preserve">Export size </w:t>
            </w:r>
            <w:r>
              <w:rPr>
                <w:rFonts w:hint="eastAsia" w:ascii="Calibri" w:hAnsi="Calibri"/>
                <w:kern w:val="2"/>
                <w:sz w:val="21"/>
                <w:szCs w:val="21"/>
              </w:rPr>
              <w:t xml:space="preserve">出口尺寸： </w:t>
            </w:r>
          </w:p>
        </w:tc>
        <w:tc>
          <w:tcPr>
            <w:tcW w:w="4455" w:type="dxa"/>
            <w:vAlign w:val="center"/>
          </w:tcPr>
          <w:p w14:paraId="3ECF1FCD">
            <w:pPr>
              <w:autoSpaceDE w:val="0"/>
              <w:autoSpaceDN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Rc11/2 </w:t>
            </w:r>
          </w:p>
        </w:tc>
      </w:tr>
      <w:tr w14:paraId="0E6305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65" w:type="dxa"/>
            <w:vAlign w:val="center"/>
          </w:tcPr>
          <w:p w14:paraId="4527BD2F">
            <w:pPr>
              <w:pStyle w:val="2"/>
              <w:widowControl/>
              <w:spacing w:before="0" w:beforeAutospacing="0" w:after="150" w:afterAutospacing="0" w:line="360" w:lineRule="auto"/>
              <w:rPr>
                <w:rFonts w:ascii="Calibri" w:hAnsi="Calibri"/>
                <w:kern w:val="2"/>
                <w:sz w:val="21"/>
                <w:szCs w:val="21"/>
              </w:rPr>
            </w:pPr>
            <w:r>
              <w:rPr>
                <w:rFonts w:ascii="Calibri" w:hAnsi="Calibri"/>
                <w:kern w:val="2"/>
                <w:sz w:val="21"/>
                <w:szCs w:val="21"/>
              </w:rPr>
              <w:t>Weight  机组重量</w:t>
            </w:r>
            <w:r>
              <w:rPr>
                <w:rFonts w:hint="eastAsia" w:ascii="Calibri" w:hAnsi="Calibri"/>
                <w:kern w:val="2"/>
                <w:sz w:val="21"/>
                <w:szCs w:val="21"/>
              </w:rPr>
              <w:t xml:space="preserve">： </w:t>
            </w:r>
          </w:p>
        </w:tc>
        <w:tc>
          <w:tcPr>
            <w:tcW w:w="4455" w:type="dxa"/>
            <w:vAlign w:val="center"/>
          </w:tcPr>
          <w:p w14:paraId="1DB9E9C7">
            <w:pPr>
              <w:autoSpaceDE w:val="0"/>
              <w:autoSpaceDN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105 kg </w:t>
            </w:r>
          </w:p>
        </w:tc>
      </w:tr>
      <w:tr w14:paraId="270AB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65" w:type="dxa"/>
            <w:vAlign w:val="center"/>
          </w:tcPr>
          <w:p w14:paraId="6E7CD186">
            <w:pPr>
              <w:pStyle w:val="2"/>
              <w:widowControl/>
              <w:spacing w:before="0" w:beforeAutospacing="0" w:after="150" w:afterAutospacing="0" w:line="360" w:lineRule="auto"/>
              <w:rPr>
                <w:rFonts w:ascii="Calibri" w:hAnsi="Calibri"/>
                <w:kern w:val="2"/>
                <w:sz w:val="21"/>
                <w:szCs w:val="21"/>
              </w:rPr>
            </w:pPr>
            <w:r>
              <w:rPr>
                <w:rFonts w:ascii="Calibri" w:hAnsi="Calibri"/>
                <w:kern w:val="2"/>
                <w:sz w:val="21"/>
                <w:szCs w:val="21"/>
              </w:rPr>
              <w:t>Outline dimension (L/W/H)  外形尺寸</w:t>
            </w:r>
          </w:p>
        </w:tc>
        <w:tc>
          <w:tcPr>
            <w:tcW w:w="4455" w:type="dxa"/>
            <w:vAlign w:val="center"/>
          </w:tcPr>
          <w:p w14:paraId="6E728D44">
            <w:pPr>
              <w:autoSpaceDE w:val="0"/>
              <w:autoSpaceDN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810*680*1150mm </w:t>
            </w:r>
          </w:p>
        </w:tc>
      </w:tr>
      <w:tr w14:paraId="73DB7D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65" w:type="dxa"/>
            <w:vAlign w:val="center"/>
          </w:tcPr>
          <w:p w14:paraId="684EF8ED">
            <w:pPr>
              <w:pStyle w:val="2"/>
              <w:widowControl/>
              <w:spacing w:before="0" w:beforeAutospacing="0" w:after="150" w:afterAutospacing="0" w:line="360" w:lineRule="auto"/>
              <w:rPr>
                <w:rFonts w:ascii="Calibri" w:hAnsi="Calibri"/>
                <w:kern w:val="2"/>
                <w:sz w:val="21"/>
                <w:szCs w:val="21"/>
              </w:rPr>
            </w:pPr>
            <w:r>
              <w:rPr>
                <w:rFonts w:ascii="Calibri" w:hAnsi="Calibri"/>
                <w:kern w:val="2"/>
                <w:sz w:val="21"/>
                <w:szCs w:val="21"/>
              </w:rPr>
              <w:t>Pollution discharge mode</w:t>
            </w:r>
            <w:r>
              <w:rPr>
                <w:rFonts w:hint="eastAsia" w:ascii="Calibri" w:hAnsi="Calibri"/>
                <w:kern w:val="2"/>
                <w:sz w:val="21"/>
                <w:szCs w:val="21"/>
              </w:rPr>
              <w:t>排污方式</w:t>
            </w:r>
          </w:p>
        </w:tc>
        <w:tc>
          <w:tcPr>
            <w:tcW w:w="4455" w:type="dxa"/>
            <w:vAlign w:val="center"/>
          </w:tcPr>
          <w:p w14:paraId="3D8F5B90">
            <w:pPr>
              <w:autoSpaceDE w:val="0"/>
              <w:autoSpaceDN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强排/自流双模式</w:t>
            </w:r>
          </w:p>
        </w:tc>
      </w:tr>
    </w:tbl>
    <w:p w14:paraId="1A943C00">
      <w:pPr>
        <w:numPr>
          <w:numId w:val="0"/>
        </w:numPr>
        <w:rPr>
          <w:rFonts w:hint="eastAsia"/>
          <w:bCs/>
          <w:sz w:val="22"/>
          <w:szCs w:val="28"/>
          <w:lang w:val="en-US" w:eastAsia="zh-CN"/>
        </w:rPr>
      </w:pPr>
    </w:p>
    <w:p w14:paraId="71110C25">
      <w:pPr>
        <w:numPr>
          <w:numId w:val="0"/>
        </w:numPr>
        <w:rPr>
          <w:rFonts w:hint="eastAsia"/>
          <w:bCs/>
          <w:sz w:val="22"/>
          <w:szCs w:val="28"/>
          <w:lang w:val="en-US" w:eastAsia="zh-CN"/>
        </w:rPr>
      </w:pPr>
      <w:r>
        <w:rPr>
          <w:rFonts w:hint="eastAsia"/>
          <w:bCs/>
          <w:sz w:val="22"/>
          <w:szCs w:val="28"/>
          <w:lang w:val="en-US" w:eastAsia="zh-CN"/>
        </w:rPr>
        <w:t>5.管道及其他附属项目：</w:t>
      </w:r>
    </w:p>
    <w:p w14:paraId="6D5745B8">
      <w:pPr>
        <w:numPr>
          <w:numId w:val="0"/>
        </w:numP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50PVC管道210米；地面开孔32个；50pvc管道与主下水管对接；防水处理32个孔道周边地面；换气扇1台；隔断一间15个平方左右；改动之前的空压机系统格局位置。</w:t>
      </w:r>
    </w:p>
    <w:p w14:paraId="3341E1C3">
      <w:pPr>
        <w:numPr>
          <w:numId w:val="0"/>
        </w:numPr>
        <w:rPr>
          <w:rFonts w:hint="eastAsia" w:eastAsiaTheme="minor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</w:rPr>
        <w:t>报价</w:t>
      </w:r>
      <w:r>
        <w:rPr>
          <w:rFonts w:hint="eastAsia"/>
          <w:b/>
          <w:bCs/>
          <w:sz w:val="28"/>
          <w:szCs w:val="36"/>
          <w:lang w:val="en-US" w:eastAsia="zh-CN"/>
        </w:rPr>
        <w:t>表</w:t>
      </w:r>
    </w:p>
    <w:tbl>
      <w:tblPr>
        <w:tblStyle w:val="3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3"/>
        <w:gridCol w:w="850"/>
        <w:gridCol w:w="994"/>
        <w:gridCol w:w="1275"/>
        <w:gridCol w:w="992"/>
        <w:gridCol w:w="3168"/>
      </w:tblGrid>
      <w:tr w14:paraId="727C53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D8D63"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设备名称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95462"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型号</w:t>
            </w:r>
          </w:p>
        </w:tc>
        <w:tc>
          <w:tcPr>
            <w:tcW w:w="5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5724E"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数量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CF6EBA"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单价</w:t>
            </w: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2026F"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总价</w:t>
            </w:r>
          </w:p>
        </w:tc>
        <w:tc>
          <w:tcPr>
            <w:tcW w:w="1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0BC58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参数备注</w:t>
            </w:r>
          </w:p>
        </w:tc>
      </w:tr>
      <w:tr w14:paraId="68B722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499AA"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牙椅整改选位阀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F322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J38-0139</w:t>
            </w:r>
          </w:p>
          <w:p w14:paraId="7ABC89BD"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新华</w:t>
            </w:r>
          </w:p>
        </w:tc>
        <w:tc>
          <w:tcPr>
            <w:tcW w:w="5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87D09"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19套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9CFD5"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00</w:t>
            </w: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FF095"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</w:rPr>
              <w:t>22800</w:t>
            </w:r>
          </w:p>
        </w:tc>
        <w:tc>
          <w:tcPr>
            <w:tcW w:w="1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8AFBE7"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J38-0139 新华 选位阀 外购品牌易发生牙椅倒灌，科室原牙椅为新华</w:t>
            </w:r>
          </w:p>
        </w:tc>
      </w:tr>
      <w:tr w14:paraId="3BC348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8A2BB"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牙科电动抽吸系统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BF012E"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/</w:t>
            </w:r>
          </w:p>
        </w:tc>
        <w:tc>
          <w:tcPr>
            <w:tcW w:w="5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5B34E"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1套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CDB02"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50000</w:t>
            </w: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85833"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50000</w:t>
            </w:r>
          </w:p>
        </w:tc>
        <w:tc>
          <w:tcPr>
            <w:tcW w:w="1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D26EB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 w14:paraId="186553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BC0A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管道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</w:rPr>
              <w:t>施工</w:t>
            </w:r>
          </w:p>
        </w:tc>
        <w:tc>
          <w:tcPr>
            <w:tcW w:w="108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E2BE0"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管道、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</w:rPr>
              <w:t>打孔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、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</w:rPr>
              <w:t>防水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、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</w:rPr>
              <w:t>做隔间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、换气扇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725A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34000</w:t>
            </w: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9B7C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34000</w:t>
            </w:r>
          </w:p>
        </w:tc>
        <w:tc>
          <w:tcPr>
            <w:tcW w:w="1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7F2C1D"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50PVC管道210米；地面开孔32个；50pvc管道与主下水管对接；防水处理32个孔道周边地面；换气扇1台；隔断一间15个平方左右；改动之前的空压机系统格局位置。</w:t>
            </w:r>
          </w:p>
        </w:tc>
      </w:tr>
      <w:tr w14:paraId="128628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559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DCCDA"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23DA5"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106800</w:t>
            </w:r>
          </w:p>
        </w:tc>
        <w:tc>
          <w:tcPr>
            <w:tcW w:w="1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90E57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</w:tbl>
    <w:p w14:paraId="106E75A6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kOGRmYzE3M2ZlNjJkMzEwMWNkNWZiZjU2ZjA5NDYifQ=="/>
  </w:docVars>
  <w:rsids>
    <w:rsidRoot w:val="05E9754C"/>
    <w:rsid w:val="05E97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2024-10-10T06:43:00Z</dcterms:created>
  <dc:creator>毁月</dc:creator>
  <cp:lastModifiedBy>毁月</cp:lastModifiedBy>
  <dcterms:modified xsi:type="dcterms:W3CDTF">2024-10-10T06:51:12Z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4DF0D446CD964CE6B1479C07B06A070C_11</vt:lpwstr>
  </property>
</Properties>
</file>