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456DBE">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b/>
          <w:bCs/>
          <w:sz w:val="24"/>
          <w:szCs w:val="32"/>
          <w:lang w:val="en-US" w:eastAsia="zh-CN"/>
        </w:rPr>
      </w:pPr>
      <w:r>
        <w:rPr>
          <w:rFonts w:hint="eastAsia"/>
          <w:b/>
          <w:bCs/>
          <w:sz w:val="24"/>
          <w:szCs w:val="32"/>
          <w:lang w:val="en-US" w:eastAsia="zh-CN"/>
        </w:rPr>
        <w:t>建设背景</w:t>
      </w:r>
    </w:p>
    <w:p w14:paraId="005747D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sz w:val="24"/>
          <w:szCs w:val="32"/>
          <w:lang w:val="en-US" w:eastAsia="zh-CN"/>
        </w:rPr>
      </w:pPr>
      <w:r>
        <w:rPr>
          <w:rFonts w:hint="default"/>
          <w:sz w:val="24"/>
          <w:szCs w:val="32"/>
          <w:lang w:val="en-US" w:eastAsia="zh-CN"/>
        </w:rPr>
        <w:t>根据“国家疾控局综合司关于做好国家传染病智能监测预警前置软件服务器软硬件环境配置的通知”的文件要求，高度重视前置软件部署工作，加强沟通协调，完成前置软件部署工作</w:t>
      </w:r>
      <w:r>
        <w:rPr>
          <w:rFonts w:hint="eastAsia"/>
          <w:sz w:val="24"/>
          <w:szCs w:val="32"/>
          <w:lang w:val="en-US" w:eastAsia="zh-CN"/>
        </w:rPr>
        <w:t>，</w:t>
      </w:r>
      <w:r>
        <w:rPr>
          <w:rFonts w:hint="default"/>
          <w:sz w:val="24"/>
          <w:szCs w:val="32"/>
          <w:lang w:val="en-US" w:eastAsia="zh-CN"/>
        </w:rPr>
        <w:t>推进安徽省统筹区域传染病监测预警与应急指挥信息平台建设。为积极响应国家、省市统筹建设，我单位需要按照通知中提出的相关配置要求，做好软件部署、对接、运维和安全保障工作。</w:t>
      </w:r>
    </w:p>
    <w:p w14:paraId="4598293F">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textAlignment w:val="auto"/>
        <w:rPr>
          <w:rFonts w:hint="eastAsia"/>
          <w:b w:val="0"/>
          <w:bCs w:val="0"/>
          <w:sz w:val="24"/>
          <w:szCs w:val="32"/>
          <w:lang w:val="en-US" w:eastAsia="zh-CN"/>
        </w:rPr>
      </w:pPr>
      <w:r>
        <w:rPr>
          <w:rFonts w:hint="eastAsia"/>
          <w:b/>
          <w:bCs/>
          <w:sz w:val="24"/>
          <w:szCs w:val="32"/>
          <w:lang w:val="en-US" w:eastAsia="zh-CN"/>
        </w:rPr>
        <w:t>项目预算：28</w:t>
      </w:r>
      <w:r>
        <w:rPr>
          <w:rFonts w:hint="eastAsia"/>
          <w:b w:val="0"/>
          <w:bCs w:val="0"/>
          <w:sz w:val="24"/>
          <w:szCs w:val="32"/>
          <w:lang w:val="en-US" w:eastAsia="zh-CN"/>
        </w:rPr>
        <w:t>万元</w:t>
      </w:r>
    </w:p>
    <w:p w14:paraId="3D1A6A02">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textAlignment w:val="auto"/>
        <w:rPr>
          <w:rFonts w:hint="default"/>
          <w:b/>
          <w:bCs/>
          <w:sz w:val="24"/>
          <w:szCs w:val="32"/>
          <w:lang w:val="en-US" w:eastAsia="zh-CN"/>
        </w:rPr>
      </w:pPr>
      <w:r>
        <w:rPr>
          <w:rFonts w:hint="eastAsia"/>
          <w:b/>
          <w:bCs/>
          <w:sz w:val="24"/>
          <w:szCs w:val="32"/>
          <w:lang w:val="en-US" w:eastAsia="zh-CN"/>
        </w:rPr>
        <w:t>配置需求</w:t>
      </w:r>
    </w:p>
    <w:tbl>
      <w:tblPr>
        <w:tblStyle w:val="5"/>
        <w:tblW w:w="88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8"/>
        <w:gridCol w:w="5777"/>
        <w:gridCol w:w="772"/>
        <w:gridCol w:w="857"/>
      </w:tblGrid>
      <w:tr w14:paraId="4EF96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8" w:type="dxa"/>
            <w:noWrap w:val="0"/>
            <w:vAlign w:val="top"/>
          </w:tcPr>
          <w:p w14:paraId="217EE5D8">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b/>
                <w:bCs/>
                <w:sz w:val="24"/>
                <w:szCs w:val="32"/>
                <w:vertAlign w:val="baseline"/>
                <w:lang w:val="en-US" w:eastAsia="zh-CN"/>
              </w:rPr>
            </w:pPr>
            <w:r>
              <w:rPr>
                <w:rFonts w:hint="default"/>
                <w:b/>
                <w:bCs/>
                <w:sz w:val="24"/>
                <w:szCs w:val="32"/>
                <w:vertAlign w:val="baseline"/>
                <w:lang w:val="en-US" w:eastAsia="zh-CN"/>
              </w:rPr>
              <w:t>产品名称</w:t>
            </w:r>
          </w:p>
        </w:tc>
        <w:tc>
          <w:tcPr>
            <w:tcW w:w="5777" w:type="dxa"/>
            <w:noWrap w:val="0"/>
            <w:vAlign w:val="top"/>
          </w:tcPr>
          <w:p w14:paraId="454F013E">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b/>
                <w:bCs/>
                <w:sz w:val="24"/>
                <w:szCs w:val="32"/>
                <w:vertAlign w:val="baseline"/>
                <w:lang w:val="en-US" w:eastAsia="zh-CN"/>
              </w:rPr>
            </w:pPr>
            <w:r>
              <w:rPr>
                <w:rFonts w:hint="default"/>
                <w:b/>
                <w:bCs/>
                <w:sz w:val="24"/>
                <w:szCs w:val="32"/>
                <w:vertAlign w:val="baseline"/>
                <w:lang w:val="en-US" w:eastAsia="zh-CN"/>
              </w:rPr>
              <w:t>配置</w:t>
            </w:r>
            <w:r>
              <w:rPr>
                <w:rFonts w:hint="eastAsia"/>
                <w:b/>
                <w:bCs/>
                <w:sz w:val="24"/>
                <w:szCs w:val="32"/>
                <w:vertAlign w:val="baseline"/>
                <w:lang w:val="en-US" w:eastAsia="zh-CN"/>
              </w:rPr>
              <w:t>参数</w:t>
            </w:r>
          </w:p>
        </w:tc>
        <w:tc>
          <w:tcPr>
            <w:tcW w:w="772" w:type="dxa"/>
            <w:noWrap w:val="0"/>
            <w:vAlign w:val="top"/>
          </w:tcPr>
          <w:p w14:paraId="5411B9A3">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b/>
                <w:bCs/>
                <w:sz w:val="24"/>
                <w:szCs w:val="32"/>
                <w:vertAlign w:val="baseline"/>
                <w:lang w:val="en-US" w:eastAsia="zh-CN"/>
              </w:rPr>
            </w:pPr>
            <w:r>
              <w:rPr>
                <w:rFonts w:hint="eastAsia"/>
                <w:b/>
                <w:bCs/>
                <w:sz w:val="24"/>
                <w:szCs w:val="32"/>
                <w:vertAlign w:val="baseline"/>
                <w:lang w:val="en-US" w:eastAsia="zh-CN"/>
              </w:rPr>
              <w:t>数量</w:t>
            </w:r>
          </w:p>
        </w:tc>
        <w:tc>
          <w:tcPr>
            <w:tcW w:w="857" w:type="dxa"/>
            <w:noWrap w:val="0"/>
            <w:vAlign w:val="top"/>
          </w:tcPr>
          <w:p w14:paraId="78A2353E">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b/>
                <w:bCs/>
                <w:sz w:val="24"/>
                <w:szCs w:val="32"/>
                <w:vertAlign w:val="baseline"/>
                <w:lang w:val="en-US" w:eastAsia="zh-CN"/>
              </w:rPr>
            </w:pPr>
            <w:r>
              <w:rPr>
                <w:rFonts w:hint="eastAsia"/>
                <w:b/>
                <w:bCs/>
                <w:sz w:val="24"/>
                <w:szCs w:val="32"/>
                <w:vertAlign w:val="baseline"/>
                <w:lang w:val="en-US" w:eastAsia="zh-CN"/>
              </w:rPr>
              <w:t>单位</w:t>
            </w:r>
          </w:p>
        </w:tc>
      </w:tr>
      <w:tr w14:paraId="3842F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8" w:type="dxa"/>
            <w:noWrap w:val="0"/>
            <w:vAlign w:val="center"/>
          </w:tcPr>
          <w:p w14:paraId="3660E895">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b w:val="0"/>
                <w:bCs w:val="0"/>
                <w:sz w:val="22"/>
                <w:szCs w:val="22"/>
                <w:vertAlign w:val="baseline"/>
                <w:lang w:val="en-US" w:eastAsia="zh-CN"/>
              </w:rPr>
            </w:pPr>
            <w:r>
              <w:rPr>
                <w:rFonts w:hint="default"/>
                <w:b w:val="0"/>
                <w:bCs w:val="0"/>
                <w:sz w:val="22"/>
                <w:szCs w:val="22"/>
                <w:vertAlign w:val="baseline"/>
                <w:lang w:val="en-US" w:eastAsia="zh-CN"/>
              </w:rPr>
              <w:t>疾控信创前置机</w:t>
            </w:r>
          </w:p>
        </w:tc>
        <w:tc>
          <w:tcPr>
            <w:tcW w:w="5777" w:type="dxa"/>
            <w:noWrap w:val="0"/>
            <w:vAlign w:val="center"/>
          </w:tcPr>
          <w:p w14:paraId="30DB2D43">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bCs/>
                <w:sz w:val="22"/>
                <w:szCs w:val="22"/>
                <w:vertAlign w:val="baseline"/>
                <w:lang w:val="en-US" w:eastAsia="zh-CN"/>
              </w:rPr>
            </w:pPr>
            <w:r>
              <w:rPr>
                <w:rFonts w:hint="eastAsia"/>
                <w:b/>
                <w:bCs/>
                <w:sz w:val="22"/>
                <w:szCs w:val="22"/>
                <w:vertAlign w:val="baseline"/>
                <w:lang w:val="en-US" w:eastAsia="zh-CN"/>
              </w:rPr>
              <w:t>★1、2路国产自研CPU（单颗CPU不低于32核、总核数不低</w:t>
            </w:r>
            <w:r>
              <w:rPr>
                <w:rFonts w:hint="eastAsia" w:ascii="Times New Roman" w:hAnsi="Times New Roman" w:eastAsia="宋体" w:cs="Times New Roman"/>
                <w:b/>
                <w:bCs/>
                <w:sz w:val="22"/>
                <w:szCs w:val="22"/>
                <w:vertAlign w:val="baseline"/>
                <w:lang w:val="en-US" w:eastAsia="zh-CN"/>
              </w:rPr>
              <w:t>于64核、2.6GHz主频</w:t>
            </w:r>
            <w:r>
              <w:rPr>
                <w:rFonts w:hint="eastAsia"/>
                <w:b/>
                <w:bCs/>
                <w:sz w:val="22"/>
                <w:szCs w:val="22"/>
                <w:vertAlign w:val="baseline"/>
                <w:lang w:val="en-US" w:eastAsia="zh-CN"/>
              </w:rPr>
              <w:t>）；≥256GB DDR4 3200MHz内存；≥2*480G SAS SSD，≥2*960G SATA SSD；控制器：配置≥1块12口SATA卡，支持RA</w:t>
            </w:r>
            <w:bookmarkStart w:id="0" w:name="_GoBack"/>
            <w:bookmarkEnd w:id="0"/>
            <w:r>
              <w:rPr>
                <w:rFonts w:hint="eastAsia"/>
                <w:b/>
                <w:bCs/>
                <w:sz w:val="22"/>
                <w:szCs w:val="22"/>
                <w:vertAlign w:val="baseline"/>
                <w:lang w:val="en-US" w:eastAsia="zh-CN"/>
              </w:rPr>
              <w:t>ID0/1/10；配置冗余电源，≥4个千兆电口、2个万兆光口（含光模块）。</w:t>
            </w:r>
          </w:p>
          <w:p w14:paraId="3381EFC3">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2"/>
                <w:szCs w:val="22"/>
                <w:vertAlign w:val="baseline"/>
                <w:lang w:val="en-US" w:eastAsia="zh-CN"/>
              </w:rPr>
            </w:pPr>
            <w:r>
              <w:rPr>
                <w:rFonts w:hint="eastAsia"/>
                <w:b w:val="0"/>
                <w:bCs w:val="0"/>
                <w:sz w:val="22"/>
                <w:szCs w:val="22"/>
                <w:vertAlign w:val="baseline"/>
                <w:lang w:val="en-US" w:eastAsia="zh-CN"/>
              </w:rPr>
              <w:t>2、服务内容包含但不限于：1）首次现场上架及安装调试；2）配合软件部署；3）与医院信息化系统对接，与省疾控局、国家疾控中心对接调试服务；4）配置好安全防护策略。</w:t>
            </w:r>
          </w:p>
        </w:tc>
        <w:tc>
          <w:tcPr>
            <w:tcW w:w="772" w:type="dxa"/>
            <w:noWrap w:val="0"/>
            <w:vAlign w:val="center"/>
          </w:tcPr>
          <w:p w14:paraId="39E2059D">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b w:val="0"/>
                <w:bCs w:val="0"/>
                <w:sz w:val="22"/>
                <w:szCs w:val="22"/>
                <w:vertAlign w:val="baseline"/>
                <w:lang w:val="en-US" w:eastAsia="zh-CN"/>
              </w:rPr>
            </w:pPr>
            <w:r>
              <w:rPr>
                <w:rFonts w:hint="default"/>
                <w:b w:val="0"/>
                <w:bCs w:val="0"/>
                <w:sz w:val="22"/>
                <w:szCs w:val="22"/>
                <w:vertAlign w:val="baseline"/>
                <w:lang w:val="en-US" w:eastAsia="zh-CN"/>
              </w:rPr>
              <w:t>1</w:t>
            </w:r>
          </w:p>
        </w:tc>
        <w:tc>
          <w:tcPr>
            <w:tcW w:w="857" w:type="dxa"/>
            <w:noWrap w:val="0"/>
            <w:vAlign w:val="center"/>
          </w:tcPr>
          <w:p w14:paraId="0960341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b w:val="0"/>
                <w:bCs w:val="0"/>
                <w:sz w:val="22"/>
                <w:szCs w:val="22"/>
                <w:vertAlign w:val="baseline"/>
                <w:lang w:val="en-US" w:eastAsia="zh-CN"/>
              </w:rPr>
            </w:pPr>
            <w:r>
              <w:rPr>
                <w:rFonts w:hint="eastAsia"/>
                <w:b w:val="0"/>
                <w:bCs w:val="0"/>
                <w:sz w:val="22"/>
                <w:szCs w:val="22"/>
                <w:vertAlign w:val="baseline"/>
                <w:lang w:val="en-US" w:eastAsia="zh-CN"/>
              </w:rPr>
              <w:t>台</w:t>
            </w:r>
          </w:p>
        </w:tc>
      </w:tr>
      <w:tr w14:paraId="21B7D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8" w:type="dxa"/>
            <w:noWrap w:val="0"/>
            <w:vAlign w:val="center"/>
          </w:tcPr>
          <w:p w14:paraId="3D77D738">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b w:val="0"/>
                <w:bCs w:val="0"/>
                <w:sz w:val="22"/>
                <w:szCs w:val="22"/>
                <w:vertAlign w:val="baseline"/>
                <w:lang w:val="en-US" w:eastAsia="zh-CN"/>
              </w:rPr>
            </w:pPr>
            <w:r>
              <w:rPr>
                <w:rFonts w:hint="default"/>
                <w:b w:val="0"/>
                <w:bCs w:val="0"/>
                <w:sz w:val="22"/>
                <w:szCs w:val="22"/>
                <w:vertAlign w:val="baseline"/>
                <w:lang w:val="en-US" w:eastAsia="zh-CN"/>
              </w:rPr>
              <w:t>疾控商密安全网关</w:t>
            </w:r>
          </w:p>
        </w:tc>
        <w:tc>
          <w:tcPr>
            <w:tcW w:w="5777" w:type="dxa"/>
            <w:noWrap w:val="0"/>
            <w:vAlign w:val="center"/>
          </w:tcPr>
          <w:p w14:paraId="63017B8A">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2"/>
                <w:szCs w:val="22"/>
                <w:vertAlign w:val="baseline"/>
                <w:lang w:val="en-US" w:eastAsia="zh-CN"/>
              </w:rPr>
            </w:pPr>
            <w:r>
              <w:rPr>
                <w:rFonts w:hint="default"/>
                <w:b w:val="0"/>
                <w:bCs w:val="0"/>
                <w:sz w:val="22"/>
                <w:szCs w:val="22"/>
                <w:vertAlign w:val="baseline"/>
                <w:lang w:val="en-US" w:eastAsia="zh-CN"/>
              </w:rPr>
              <w:t>1、桌面型设备，配置flash闪存，吞吐性能≥300Mbps，IPSEC VPN可加密性能（SM3+SM4）≥60Mbps，VPN隧道数≥30。接口≥5千兆电口。具备并提供商用密码认证证书。具备基础防火墙ACL功能和URL过滤功能</w:t>
            </w:r>
            <w:r>
              <w:rPr>
                <w:rFonts w:hint="eastAsia"/>
                <w:b w:val="0"/>
                <w:bCs w:val="0"/>
                <w:sz w:val="22"/>
                <w:szCs w:val="22"/>
                <w:vertAlign w:val="baseline"/>
                <w:lang w:val="en-US" w:eastAsia="zh-CN"/>
              </w:rPr>
              <w:t>。</w:t>
            </w:r>
          </w:p>
          <w:p w14:paraId="08F9138A">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2"/>
                <w:szCs w:val="22"/>
                <w:vertAlign w:val="baseline"/>
                <w:lang w:val="en-US" w:eastAsia="zh-CN"/>
              </w:rPr>
            </w:pPr>
            <w:r>
              <w:rPr>
                <w:rFonts w:hint="default"/>
                <w:b w:val="0"/>
                <w:bCs w:val="0"/>
                <w:sz w:val="22"/>
                <w:szCs w:val="22"/>
                <w:vertAlign w:val="baseline"/>
                <w:lang w:val="en-US" w:eastAsia="zh-CN"/>
              </w:rPr>
              <w:t>2、具备防火墙、国密VPN传输数据加密（支持国密算法SM1-SM4）等安全相关功能</w:t>
            </w:r>
            <w:r>
              <w:rPr>
                <w:rFonts w:hint="eastAsia"/>
                <w:b w:val="0"/>
                <w:bCs w:val="0"/>
                <w:sz w:val="22"/>
                <w:szCs w:val="22"/>
                <w:vertAlign w:val="baseline"/>
                <w:lang w:val="en-US" w:eastAsia="zh-CN"/>
              </w:rPr>
              <w:t>。</w:t>
            </w:r>
          </w:p>
          <w:p w14:paraId="3B56529B">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bCs/>
                <w:sz w:val="22"/>
                <w:szCs w:val="22"/>
                <w:vertAlign w:val="baseline"/>
                <w:lang w:val="en-US" w:eastAsia="zh-CN"/>
              </w:rPr>
            </w:pPr>
            <w:r>
              <w:rPr>
                <w:rFonts w:hint="eastAsia"/>
                <w:b/>
                <w:bCs/>
                <w:sz w:val="22"/>
                <w:szCs w:val="22"/>
                <w:vertAlign w:val="baseline"/>
                <w:lang w:val="en-US" w:eastAsia="zh-CN"/>
              </w:rPr>
              <w:t>★</w:t>
            </w:r>
            <w:r>
              <w:rPr>
                <w:rFonts w:hint="default"/>
                <w:b/>
                <w:bCs/>
                <w:sz w:val="22"/>
                <w:szCs w:val="22"/>
                <w:vertAlign w:val="baseline"/>
                <w:lang w:val="en-US" w:eastAsia="zh-CN"/>
              </w:rPr>
              <w:t>3、无缝兼容接入安徽省疾控现有商密VPN专网和政务外网，并接受省疾控安全管理平台统一纳管和运维</w:t>
            </w:r>
            <w:r>
              <w:rPr>
                <w:rFonts w:hint="eastAsia"/>
                <w:b/>
                <w:bCs/>
                <w:sz w:val="22"/>
                <w:szCs w:val="22"/>
                <w:vertAlign w:val="baseline"/>
                <w:lang w:val="en-US" w:eastAsia="zh-CN"/>
              </w:rPr>
              <w:t>。（提供对接</w:t>
            </w:r>
            <w:r>
              <w:rPr>
                <w:rFonts w:hint="eastAsia"/>
                <w:b/>
                <w:bCs/>
                <w:sz w:val="22"/>
                <w:szCs w:val="22"/>
                <w:highlight w:val="yellow"/>
                <w:vertAlign w:val="baseline"/>
                <w:lang w:val="en-US" w:eastAsia="zh-CN"/>
              </w:rPr>
              <w:t>实施方案</w:t>
            </w:r>
            <w:r>
              <w:rPr>
                <w:rFonts w:hint="eastAsia"/>
                <w:b/>
                <w:bCs/>
                <w:sz w:val="22"/>
                <w:szCs w:val="22"/>
                <w:vertAlign w:val="baseline"/>
                <w:lang w:val="en-US" w:eastAsia="zh-CN"/>
              </w:rPr>
              <w:t>及</w:t>
            </w:r>
            <w:r>
              <w:rPr>
                <w:rFonts w:hint="eastAsia"/>
                <w:b/>
                <w:bCs/>
                <w:sz w:val="22"/>
                <w:szCs w:val="22"/>
                <w:highlight w:val="yellow"/>
                <w:vertAlign w:val="baseline"/>
                <w:lang w:val="en-US" w:eastAsia="zh-CN"/>
              </w:rPr>
              <w:t>无缝兼容对接承诺函</w:t>
            </w:r>
            <w:r>
              <w:rPr>
                <w:rFonts w:hint="eastAsia"/>
                <w:b/>
                <w:bCs/>
                <w:sz w:val="22"/>
                <w:szCs w:val="22"/>
                <w:vertAlign w:val="baseline"/>
                <w:lang w:val="en-US" w:eastAsia="zh-CN"/>
              </w:rPr>
              <w:t>）</w:t>
            </w:r>
          </w:p>
          <w:p w14:paraId="150AD7F5">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2"/>
                <w:szCs w:val="22"/>
                <w:vertAlign w:val="baseline"/>
                <w:lang w:val="en-US" w:eastAsia="zh-CN"/>
              </w:rPr>
            </w:pPr>
            <w:r>
              <w:rPr>
                <w:rFonts w:hint="default"/>
                <w:b w:val="0"/>
                <w:bCs w:val="0"/>
                <w:sz w:val="22"/>
                <w:szCs w:val="22"/>
                <w:vertAlign w:val="baseline"/>
                <w:lang w:val="en-US" w:eastAsia="zh-CN"/>
              </w:rPr>
              <w:t>4、提供3年7*24小时疾控中心专职技术人员远程服务，熟悉疾控全网配置策略</w:t>
            </w:r>
            <w:r>
              <w:rPr>
                <w:rFonts w:hint="eastAsia"/>
                <w:b w:val="0"/>
                <w:bCs w:val="0"/>
                <w:sz w:val="22"/>
                <w:szCs w:val="22"/>
                <w:vertAlign w:val="baseline"/>
                <w:lang w:val="en-US" w:eastAsia="zh-CN"/>
              </w:rPr>
              <w:t>。</w:t>
            </w:r>
          </w:p>
          <w:p w14:paraId="6E98C3F9">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2"/>
                <w:szCs w:val="22"/>
                <w:vertAlign w:val="baseline"/>
                <w:lang w:val="en-US" w:eastAsia="zh-CN"/>
              </w:rPr>
            </w:pPr>
            <w:r>
              <w:rPr>
                <w:rFonts w:hint="default"/>
                <w:b w:val="0"/>
                <w:bCs w:val="0"/>
                <w:sz w:val="22"/>
                <w:szCs w:val="22"/>
                <w:vertAlign w:val="baseline"/>
                <w:lang w:val="en-US" w:eastAsia="zh-CN"/>
              </w:rPr>
              <w:t>5、支持实时监控设备运行状态，包括设备CPU占用率、内存占用率、网口运行状态、在线用户数，支持查看最近1小时、最近一天的WAN口流量统计等信息</w:t>
            </w:r>
            <w:r>
              <w:rPr>
                <w:rFonts w:hint="eastAsia"/>
                <w:b w:val="0"/>
                <w:bCs w:val="0"/>
                <w:sz w:val="22"/>
                <w:szCs w:val="22"/>
                <w:vertAlign w:val="baseline"/>
                <w:lang w:val="en-US" w:eastAsia="zh-CN"/>
              </w:rPr>
              <w:t>；</w:t>
            </w:r>
            <w:r>
              <w:rPr>
                <w:rFonts w:hint="eastAsia"/>
                <w:b/>
                <w:bCs/>
                <w:sz w:val="22"/>
                <w:szCs w:val="22"/>
                <w:vertAlign w:val="baseline"/>
                <w:lang w:val="en-US" w:eastAsia="zh-CN"/>
              </w:rPr>
              <w:t>（提供功能截图证明）</w:t>
            </w:r>
          </w:p>
          <w:p w14:paraId="1CCA513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2"/>
                <w:szCs w:val="22"/>
                <w:vertAlign w:val="baseline"/>
                <w:lang w:val="en-US" w:eastAsia="zh-CN"/>
              </w:rPr>
            </w:pPr>
            <w:r>
              <w:rPr>
                <w:rFonts w:hint="default"/>
                <w:b w:val="0"/>
                <w:bCs w:val="0"/>
                <w:sz w:val="22"/>
                <w:szCs w:val="22"/>
                <w:vertAlign w:val="baseline"/>
                <w:lang w:val="en-US" w:eastAsia="zh-CN"/>
              </w:rPr>
              <w:t>6、支持以图表形式实时展示VPN流量，支持查看最近1小时，最近24小时的设备VPN流量传输情况，包括实时发送流量与实时接收流量情况；</w:t>
            </w:r>
            <w:r>
              <w:rPr>
                <w:rFonts w:hint="eastAsia"/>
                <w:b/>
                <w:bCs/>
                <w:sz w:val="22"/>
                <w:szCs w:val="22"/>
                <w:vertAlign w:val="baseline"/>
                <w:lang w:val="en-US" w:eastAsia="zh-CN"/>
              </w:rPr>
              <w:t>（提供功能截图证明）</w:t>
            </w:r>
          </w:p>
        </w:tc>
        <w:tc>
          <w:tcPr>
            <w:tcW w:w="772" w:type="dxa"/>
            <w:noWrap w:val="0"/>
            <w:vAlign w:val="center"/>
          </w:tcPr>
          <w:p w14:paraId="6999D79C">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b w:val="0"/>
                <w:bCs w:val="0"/>
                <w:sz w:val="22"/>
                <w:szCs w:val="22"/>
                <w:vertAlign w:val="baseline"/>
                <w:lang w:val="en-US" w:eastAsia="zh-CN"/>
              </w:rPr>
            </w:pPr>
            <w:r>
              <w:rPr>
                <w:rFonts w:hint="default"/>
                <w:b w:val="0"/>
                <w:bCs w:val="0"/>
                <w:sz w:val="22"/>
                <w:szCs w:val="22"/>
                <w:vertAlign w:val="baseline"/>
                <w:lang w:val="en-US" w:eastAsia="zh-CN"/>
              </w:rPr>
              <w:t>1</w:t>
            </w:r>
          </w:p>
        </w:tc>
        <w:tc>
          <w:tcPr>
            <w:tcW w:w="857" w:type="dxa"/>
            <w:noWrap w:val="0"/>
            <w:vAlign w:val="center"/>
          </w:tcPr>
          <w:p w14:paraId="47757FB9">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b w:val="0"/>
                <w:bCs w:val="0"/>
                <w:sz w:val="22"/>
                <w:szCs w:val="22"/>
                <w:vertAlign w:val="baseline"/>
                <w:lang w:val="en-US" w:eastAsia="zh-CN"/>
              </w:rPr>
            </w:pPr>
            <w:r>
              <w:rPr>
                <w:rFonts w:hint="eastAsia"/>
                <w:b w:val="0"/>
                <w:bCs w:val="0"/>
                <w:sz w:val="22"/>
                <w:szCs w:val="22"/>
                <w:vertAlign w:val="baseline"/>
                <w:lang w:val="en-US" w:eastAsia="zh-CN"/>
              </w:rPr>
              <w:t>台</w:t>
            </w:r>
          </w:p>
        </w:tc>
      </w:tr>
      <w:tr w14:paraId="07928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8" w:type="dxa"/>
            <w:noWrap w:val="0"/>
            <w:vAlign w:val="center"/>
          </w:tcPr>
          <w:p w14:paraId="11C00880">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b w:val="0"/>
                <w:bCs w:val="0"/>
                <w:sz w:val="22"/>
                <w:szCs w:val="22"/>
                <w:vertAlign w:val="baseline"/>
                <w:lang w:val="en-US" w:eastAsia="zh-CN"/>
              </w:rPr>
            </w:pPr>
            <w:r>
              <w:rPr>
                <w:rFonts w:hint="default"/>
                <w:b w:val="0"/>
                <w:bCs w:val="0"/>
                <w:sz w:val="22"/>
                <w:szCs w:val="22"/>
                <w:vertAlign w:val="baseline"/>
                <w:lang w:val="en-US" w:eastAsia="zh-CN"/>
              </w:rPr>
              <w:t>前置软件部署调试服务</w:t>
            </w:r>
          </w:p>
        </w:tc>
        <w:tc>
          <w:tcPr>
            <w:tcW w:w="5777" w:type="dxa"/>
            <w:noWrap w:val="0"/>
            <w:vAlign w:val="top"/>
          </w:tcPr>
          <w:p w14:paraId="0859945D">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2"/>
                <w:szCs w:val="22"/>
                <w:vertAlign w:val="baseline"/>
                <w:lang w:val="en-US" w:eastAsia="zh-CN"/>
              </w:rPr>
            </w:pPr>
            <w:r>
              <w:rPr>
                <w:rFonts w:hint="eastAsia"/>
                <w:b w:val="0"/>
                <w:bCs w:val="0"/>
                <w:sz w:val="22"/>
                <w:szCs w:val="22"/>
                <w:vertAlign w:val="baseline"/>
                <w:lang w:val="en-US" w:eastAsia="zh-CN"/>
              </w:rPr>
              <w:t>完成现有国家平台联调对接，提供前置软件原厂服务，</w:t>
            </w:r>
            <w:r>
              <w:rPr>
                <w:rFonts w:hint="default"/>
                <w:b w:val="0"/>
                <w:bCs w:val="0"/>
                <w:sz w:val="22"/>
                <w:szCs w:val="22"/>
                <w:vertAlign w:val="baseline"/>
                <w:lang w:val="en-US" w:eastAsia="zh-CN"/>
              </w:rPr>
              <w:t>服务</w:t>
            </w:r>
            <w:r>
              <w:rPr>
                <w:rFonts w:hint="eastAsia"/>
                <w:b w:val="0"/>
                <w:bCs w:val="0"/>
                <w:sz w:val="22"/>
                <w:szCs w:val="22"/>
                <w:vertAlign w:val="baseline"/>
                <w:lang w:val="en-US" w:eastAsia="zh-CN"/>
              </w:rPr>
              <w:t>至</w:t>
            </w:r>
            <w:r>
              <w:rPr>
                <w:rFonts w:hint="default"/>
                <w:b w:val="0"/>
                <w:bCs w:val="0"/>
                <w:sz w:val="22"/>
                <w:szCs w:val="22"/>
                <w:vertAlign w:val="baseline"/>
                <w:lang w:val="en-US" w:eastAsia="zh-CN"/>
              </w:rPr>
              <w:t>考核期结束</w:t>
            </w:r>
            <w:r>
              <w:rPr>
                <w:rFonts w:hint="eastAsia"/>
                <w:b w:val="0"/>
                <w:bCs w:val="0"/>
                <w:sz w:val="22"/>
                <w:szCs w:val="22"/>
                <w:vertAlign w:val="baseline"/>
                <w:lang w:val="en-US" w:eastAsia="zh-CN"/>
              </w:rPr>
              <w:t>，服务内容包括：</w:t>
            </w:r>
          </w:p>
          <w:p w14:paraId="7B1B8AA0">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2"/>
                <w:szCs w:val="22"/>
                <w:vertAlign w:val="baseline"/>
                <w:lang w:val="en-US" w:eastAsia="zh-CN"/>
              </w:rPr>
            </w:pPr>
            <w:r>
              <w:rPr>
                <w:rFonts w:hint="eastAsia"/>
                <w:b w:val="0"/>
                <w:bCs w:val="0"/>
                <w:sz w:val="22"/>
                <w:szCs w:val="22"/>
                <w:vertAlign w:val="baseline"/>
                <w:lang w:val="en-US" w:eastAsia="zh-CN"/>
              </w:rPr>
              <w:t>1、前置机操作系统、数据库、前置软件上架前初始化安装</w:t>
            </w:r>
          </w:p>
          <w:p w14:paraId="76AFAC9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2"/>
                <w:szCs w:val="22"/>
                <w:vertAlign w:val="baseline"/>
                <w:lang w:val="en-US" w:eastAsia="zh-CN"/>
              </w:rPr>
            </w:pPr>
            <w:r>
              <w:rPr>
                <w:rFonts w:hint="eastAsia"/>
                <w:b w:val="0"/>
                <w:bCs w:val="0"/>
                <w:sz w:val="22"/>
                <w:szCs w:val="22"/>
                <w:vertAlign w:val="baseline"/>
                <w:lang w:val="en-US" w:eastAsia="zh-CN"/>
              </w:rPr>
              <w:t>2、电子病历厂商的指导评估确认</w:t>
            </w:r>
          </w:p>
          <w:p w14:paraId="72DFA145">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2"/>
                <w:szCs w:val="22"/>
                <w:vertAlign w:val="baseline"/>
                <w:lang w:val="en-US" w:eastAsia="zh-CN"/>
              </w:rPr>
            </w:pPr>
            <w:r>
              <w:rPr>
                <w:rFonts w:hint="eastAsia"/>
                <w:b w:val="0"/>
                <w:bCs w:val="0"/>
                <w:sz w:val="22"/>
                <w:szCs w:val="22"/>
                <w:vertAlign w:val="baseline"/>
                <w:lang w:val="en-US" w:eastAsia="zh-CN"/>
              </w:rPr>
              <w:t>3、国家考核任务对应数据集调试、对接、测试运行、正式运行培训</w:t>
            </w:r>
          </w:p>
          <w:p w14:paraId="67D2FD0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2"/>
                <w:szCs w:val="22"/>
                <w:vertAlign w:val="baseline"/>
                <w:lang w:val="en-US" w:eastAsia="zh-CN"/>
              </w:rPr>
            </w:pPr>
            <w:r>
              <w:rPr>
                <w:rFonts w:hint="eastAsia"/>
                <w:b w:val="0"/>
                <w:bCs w:val="0"/>
                <w:sz w:val="22"/>
                <w:szCs w:val="22"/>
                <w:vertAlign w:val="baseline"/>
                <w:lang w:val="en-US" w:eastAsia="zh-CN"/>
              </w:rPr>
              <w:t>4、上级平台对应数据集调试、对接、测试运行、正式运行培训：工作包括电子病历库初始化联调接入，质控核查，增量监控，预警模型训练初始化；传报卡、症候群、病原检测信息、可疑传染病电子病历与省统筹传染病自动采集系统联调对接等工作。</w:t>
            </w:r>
          </w:p>
        </w:tc>
        <w:tc>
          <w:tcPr>
            <w:tcW w:w="772" w:type="dxa"/>
            <w:noWrap w:val="0"/>
            <w:vAlign w:val="center"/>
          </w:tcPr>
          <w:p w14:paraId="086BC48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b w:val="0"/>
                <w:bCs w:val="0"/>
                <w:sz w:val="22"/>
                <w:szCs w:val="22"/>
                <w:vertAlign w:val="baseline"/>
                <w:lang w:val="en-US" w:eastAsia="zh-CN"/>
              </w:rPr>
            </w:pPr>
            <w:r>
              <w:rPr>
                <w:rFonts w:hint="eastAsia"/>
                <w:b w:val="0"/>
                <w:bCs w:val="0"/>
                <w:sz w:val="22"/>
                <w:szCs w:val="22"/>
                <w:vertAlign w:val="baseline"/>
                <w:lang w:val="en-US" w:eastAsia="zh-CN"/>
              </w:rPr>
              <w:t>1</w:t>
            </w:r>
          </w:p>
        </w:tc>
        <w:tc>
          <w:tcPr>
            <w:tcW w:w="857" w:type="dxa"/>
            <w:noWrap w:val="0"/>
            <w:vAlign w:val="center"/>
          </w:tcPr>
          <w:p w14:paraId="3A34629A">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b w:val="0"/>
                <w:bCs w:val="0"/>
                <w:sz w:val="22"/>
                <w:szCs w:val="22"/>
                <w:vertAlign w:val="baseline"/>
                <w:lang w:val="en-US" w:eastAsia="zh-CN"/>
              </w:rPr>
            </w:pPr>
            <w:r>
              <w:rPr>
                <w:rFonts w:hint="eastAsia"/>
                <w:b w:val="0"/>
                <w:bCs w:val="0"/>
                <w:sz w:val="22"/>
                <w:szCs w:val="22"/>
                <w:vertAlign w:val="baseline"/>
                <w:lang w:val="en-US" w:eastAsia="zh-CN"/>
              </w:rPr>
              <w:t>项</w:t>
            </w:r>
          </w:p>
        </w:tc>
      </w:tr>
      <w:tr w14:paraId="712DA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1" w:hRule="atLeast"/>
        </w:trPr>
        <w:tc>
          <w:tcPr>
            <w:tcW w:w="1458" w:type="dxa"/>
            <w:noWrap w:val="0"/>
            <w:vAlign w:val="center"/>
          </w:tcPr>
          <w:p w14:paraId="1A7FD0A4">
            <w:pPr>
              <w:keepNext w:val="0"/>
              <w:keepLines w:val="0"/>
              <w:widowControl/>
              <w:suppressLineNumbers w:val="0"/>
              <w:jc w:val="center"/>
              <w:textAlignment w:val="center"/>
              <w:rPr>
                <w:rFonts w:hint="default"/>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rPr>
              <w:t>电子病历升级服务</w:t>
            </w:r>
          </w:p>
        </w:tc>
        <w:tc>
          <w:tcPr>
            <w:tcW w:w="5777" w:type="dxa"/>
            <w:noWrap w:val="0"/>
            <w:vAlign w:val="center"/>
          </w:tcPr>
          <w:p w14:paraId="26003B4A">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2"/>
                <w:szCs w:val="22"/>
                <w:vertAlign w:val="baseline"/>
                <w:lang w:val="en-US" w:eastAsia="zh-CN"/>
              </w:rPr>
            </w:pPr>
            <w:r>
              <w:rPr>
                <w:rFonts w:hint="eastAsia"/>
                <w:b w:val="0"/>
                <w:bCs w:val="0"/>
                <w:sz w:val="22"/>
                <w:szCs w:val="22"/>
                <w:vertAlign w:val="baseline"/>
                <w:lang w:val="en-US" w:eastAsia="zh-CN"/>
              </w:rPr>
              <w:t>实现医院信息系统电子病历(EMR)数据与国家传染病智能监测预警前置软件的数据同步与交互应用。</w:t>
            </w:r>
          </w:p>
        </w:tc>
        <w:tc>
          <w:tcPr>
            <w:tcW w:w="772" w:type="dxa"/>
            <w:noWrap w:val="0"/>
            <w:vAlign w:val="center"/>
          </w:tcPr>
          <w:p w14:paraId="4E81F755">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b w:val="0"/>
                <w:bCs w:val="0"/>
                <w:sz w:val="22"/>
                <w:szCs w:val="22"/>
                <w:vertAlign w:val="baseline"/>
                <w:lang w:val="en-US" w:eastAsia="zh-CN"/>
              </w:rPr>
            </w:pPr>
            <w:r>
              <w:rPr>
                <w:rFonts w:hint="eastAsia"/>
                <w:b w:val="0"/>
                <w:bCs w:val="0"/>
                <w:sz w:val="22"/>
                <w:szCs w:val="22"/>
                <w:vertAlign w:val="baseline"/>
                <w:lang w:val="en-US" w:eastAsia="zh-CN"/>
              </w:rPr>
              <w:t>1</w:t>
            </w:r>
          </w:p>
        </w:tc>
        <w:tc>
          <w:tcPr>
            <w:tcW w:w="857" w:type="dxa"/>
            <w:noWrap w:val="0"/>
            <w:vAlign w:val="center"/>
          </w:tcPr>
          <w:p w14:paraId="5426C206">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b w:val="0"/>
                <w:bCs w:val="0"/>
                <w:sz w:val="22"/>
                <w:szCs w:val="22"/>
                <w:vertAlign w:val="baseline"/>
                <w:lang w:val="en-US" w:eastAsia="zh-CN"/>
              </w:rPr>
            </w:pPr>
            <w:r>
              <w:rPr>
                <w:rFonts w:hint="eastAsia"/>
                <w:b w:val="0"/>
                <w:bCs w:val="0"/>
                <w:sz w:val="22"/>
                <w:szCs w:val="22"/>
                <w:vertAlign w:val="baseline"/>
                <w:lang w:val="en-US" w:eastAsia="zh-CN"/>
              </w:rPr>
              <w:t>项</w:t>
            </w:r>
          </w:p>
        </w:tc>
      </w:tr>
      <w:tr w14:paraId="48E32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1" w:hRule="atLeast"/>
        </w:trPr>
        <w:tc>
          <w:tcPr>
            <w:tcW w:w="1458" w:type="dxa"/>
            <w:noWrap w:val="0"/>
            <w:vAlign w:val="center"/>
          </w:tcPr>
          <w:p w14:paraId="349A1C3F">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rPr>
            </w:pPr>
            <w:r>
              <w:rPr>
                <w:rFonts w:hint="eastAsia" w:ascii="宋体" w:hAnsi="宋体" w:cs="宋体"/>
                <w:i w:val="0"/>
                <w:iCs w:val="0"/>
                <w:color w:val="000000"/>
                <w:kern w:val="0"/>
                <w:sz w:val="22"/>
                <w:szCs w:val="22"/>
                <w:u w:val="none"/>
                <w:lang w:val="en-US" w:eastAsia="zh-CN"/>
              </w:rPr>
              <w:t>防火墙</w:t>
            </w:r>
          </w:p>
        </w:tc>
        <w:tc>
          <w:tcPr>
            <w:tcW w:w="5777" w:type="dxa"/>
            <w:noWrap w:val="0"/>
            <w:vAlign w:val="center"/>
          </w:tcPr>
          <w:p w14:paraId="50D13F86">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2"/>
                <w:szCs w:val="22"/>
                <w:vertAlign w:val="baseline"/>
                <w:lang w:val="en-US" w:eastAsia="zh-CN"/>
              </w:rPr>
            </w:pPr>
            <w:r>
              <w:rPr>
                <w:rFonts w:hint="eastAsia"/>
                <w:b w:val="0"/>
                <w:bCs w:val="0"/>
                <w:sz w:val="22"/>
                <w:szCs w:val="22"/>
                <w:vertAlign w:val="baseline"/>
                <w:lang w:val="en-US" w:eastAsia="zh-CN"/>
              </w:rPr>
              <w:t>1、网络层吞吐量≥10Gbps，应用层吞吐量≥5Gbps，并发连接数≥200万，每秒新建连接数≥6万，IPSec VPN最大接入数≥800；至少具备8个千兆电口和2个万兆光口，2个USB口和1个console口，配置双电源；</w:t>
            </w:r>
          </w:p>
          <w:p w14:paraId="7EDA5EAC">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2"/>
                <w:szCs w:val="22"/>
                <w:vertAlign w:val="baseline"/>
                <w:lang w:val="en-US" w:eastAsia="zh-CN"/>
              </w:rPr>
            </w:pPr>
            <w:r>
              <w:rPr>
                <w:rFonts w:hint="eastAsia"/>
                <w:b w:val="0"/>
                <w:bCs w:val="0"/>
                <w:sz w:val="22"/>
                <w:szCs w:val="22"/>
                <w:vertAlign w:val="baseline"/>
                <w:lang w:val="en-US" w:eastAsia="zh-CN"/>
              </w:rPr>
              <w:t>2、支持IPSec VPN智能选路功能，根据线路质量调度流量；</w:t>
            </w:r>
          </w:p>
          <w:p w14:paraId="2FDD122A">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2"/>
                <w:szCs w:val="22"/>
                <w:vertAlign w:val="baseline"/>
                <w:lang w:val="en-US" w:eastAsia="zh-CN"/>
              </w:rPr>
            </w:pPr>
            <w:r>
              <w:rPr>
                <w:rFonts w:hint="eastAsia"/>
                <w:b w:val="0"/>
                <w:bCs w:val="0"/>
                <w:sz w:val="22"/>
                <w:szCs w:val="22"/>
                <w:vertAlign w:val="baseline"/>
                <w:lang w:val="en-US" w:eastAsia="zh-CN"/>
              </w:rPr>
              <w:t>3、支持并提供提供入侵防御，提供三年授权</w:t>
            </w:r>
            <w:r>
              <w:rPr>
                <w:rFonts w:hint="eastAsia"/>
                <w:b/>
                <w:bCs/>
                <w:sz w:val="22"/>
                <w:szCs w:val="22"/>
                <w:vertAlign w:val="baseline"/>
                <w:lang w:val="en-US" w:eastAsia="zh-CN"/>
              </w:rPr>
              <w:t>（提供相关证明材料）</w:t>
            </w:r>
            <w:r>
              <w:rPr>
                <w:rFonts w:hint="eastAsia"/>
                <w:b w:val="0"/>
                <w:bCs w:val="0"/>
                <w:sz w:val="22"/>
                <w:szCs w:val="22"/>
                <w:vertAlign w:val="baseline"/>
                <w:lang w:val="en-US" w:eastAsia="zh-CN"/>
              </w:rPr>
              <w:t>；</w:t>
            </w:r>
          </w:p>
          <w:p w14:paraId="205DACDC">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2"/>
                <w:szCs w:val="22"/>
                <w:vertAlign w:val="baseline"/>
                <w:lang w:val="en-US" w:eastAsia="zh-CN"/>
              </w:rPr>
            </w:pPr>
            <w:r>
              <w:rPr>
                <w:rFonts w:hint="eastAsia"/>
                <w:b w:val="0"/>
                <w:bCs w:val="0"/>
                <w:sz w:val="22"/>
                <w:szCs w:val="22"/>
                <w:vertAlign w:val="baseline"/>
                <w:lang w:val="en-US" w:eastAsia="zh-CN"/>
              </w:rPr>
              <w:t>4、支持并提供防病毒模块，提供三年授权</w:t>
            </w:r>
            <w:r>
              <w:rPr>
                <w:rFonts w:hint="eastAsia"/>
                <w:b/>
                <w:bCs/>
                <w:sz w:val="22"/>
                <w:szCs w:val="22"/>
                <w:vertAlign w:val="baseline"/>
                <w:lang w:val="en-US" w:eastAsia="zh-CN"/>
              </w:rPr>
              <w:t>（提供相关证明材料）</w:t>
            </w:r>
            <w:r>
              <w:rPr>
                <w:rFonts w:hint="eastAsia"/>
                <w:b w:val="0"/>
                <w:bCs w:val="0"/>
                <w:sz w:val="22"/>
                <w:szCs w:val="22"/>
                <w:vertAlign w:val="baseline"/>
                <w:lang w:val="en-US" w:eastAsia="zh-CN"/>
              </w:rPr>
              <w:t>；基于病毒特征进行检测，实现病毒库手动和自动升级；</w:t>
            </w:r>
          </w:p>
          <w:p w14:paraId="0B00722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2"/>
                <w:szCs w:val="22"/>
                <w:vertAlign w:val="baseline"/>
                <w:lang w:val="en-US" w:eastAsia="zh-CN"/>
              </w:rPr>
            </w:pPr>
            <w:r>
              <w:rPr>
                <w:rFonts w:hint="eastAsia"/>
                <w:b w:val="0"/>
                <w:bCs w:val="0"/>
                <w:sz w:val="22"/>
                <w:szCs w:val="22"/>
                <w:vertAlign w:val="baseline"/>
                <w:lang w:val="en-US" w:eastAsia="zh-CN"/>
              </w:rPr>
              <w:t>5、支持并提供上网行为管理功能，提供三年授权</w:t>
            </w:r>
            <w:r>
              <w:rPr>
                <w:rFonts w:hint="eastAsia"/>
                <w:b/>
                <w:bCs/>
                <w:sz w:val="22"/>
                <w:szCs w:val="22"/>
                <w:vertAlign w:val="baseline"/>
                <w:lang w:val="en-US" w:eastAsia="zh-CN"/>
              </w:rPr>
              <w:t>（提供相关证明材料）</w:t>
            </w:r>
            <w:r>
              <w:rPr>
                <w:rFonts w:hint="eastAsia"/>
                <w:b w:val="0"/>
                <w:bCs w:val="0"/>
                <w:sz w:val="22"/>
                <w:szCs w:val="22"/>
                <w:vertAlign w:val="baseline"/>
                <w:lang w:val="en-US" w:eastAsia="zh-CN"/>
              </w:rPr>
              <w:t>；支持对多种应用的识别和控制，应用类型包括游戏、购物、P2P下载、聊天工具、股票软件等类型应用进行检测与控制；</w:t>
            </w:r>
          </w:p>
          <w:p w14:paraId="51BE8173">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2"/>
                <w:szCs w:val="22"/>
                <w:vertAlign w:val="baseline"/>
                <w:lang w:val="en-US" w:eastAsia="zh-CN"/>
              </w:rPr>
            </w:pPr>
            <w:r>
              <w:rPr>
                <w:rFonts w:hint="eastAsia"/>
                <w:b w:val="0"/>
                <w:bCs w:val="0"/>
                <w:sz w:val="22"/>
                <w:szCs w:val="22"/>
                <w:vertAlign w:val="baseline"/>
                <w:lang w:val="en-US" w:eastAsia="zh-CN"/>
              </w:rPr>
              <w:t>6、供应商需提供设备制造厂商3年售后服务承诺函（包含但不限于系统版本升级、特征库版本升级等）；</w:t>
            </w:r>
          </w:p>
        </w:tc>
        <w:tc>
          <w:tcPr>
            <w:tcW w:w="772" w:type="dxa"/>
            <w:noWrap w:val="0"/>
            <w:vAlign w:val="center"/>
          </w:tcPr>
          <w:p w14:paraId="183D975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b w:val="0"/>
                <w:bCs w:val="0"/>
                <w:sz w:val="22"/>
                <w:szCs w:val="22"/>
                <w:vertAlign w:val="baseline"/>
                <w:lang w:val="en-US" w:eastAsia="zh-CN"/>
              </w:rPr>
            </w:pPr>
            <w:r>
              <w:rPr>
                <w:rFonts w:hint="eastAsia"/>
                <w:b w:val="0"/>
                <w:bCs w:val="0"/>
                <w:sz w:val="22"/>
                <w:szCs w:val="22"/>
                <w:vertAlign w:val="baseline"/>
                <w:lang w:val="en-US" w:eastAsia="zh-CN"/>
              </w:rPr>
              <w:t>1</w:t>
            </w:r>
          </w:p>
        </w:tc>
        <w:tc>
          <w:tcPr>
            <w:tcW w:w="857" w:type="dxa"/>
            <w:noWrap w:val="0"/>
            <w:vAlign w:val="center"/>
          </w:tcPr>
          <w:p w14:paraId="1EB3A44E">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b w:val="0"/>
                <w:bCs w:val="0"/>
                <w:sz w:val="22"/>
                <w:szCs w:val="22"/>
                <w:vertAlign w:val="baseline"/>
                <w:lang w:val="en-US" w:eastAsia="zh-CN"/>
              </w:rPr>
            </w:pPr>
            <w:r>
              <w:rPr>
                <w:rFonts w:hint="eastAsia"/>
                <w:b w:val="0"/>
                <w:bCs w:val="0"/>
                <w:sz w:val="22"/>
                <w:szCs w:val="22"/>
                <w:vertAlign w:val="baseline"/>
                <w:lang w:val="en-US" w:eastAsia="zh-CN"/>
              </w:rPr>
              <w:t>台</w:t>
            </w:r>
          </w:p>
        </w:tc>
      </w:tr>
    </w:tbl>
    <w:p w14:paraId="66BDE0DD">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sz w:val="24"/>
          <w:szCs w:val="32"/>
        </w:rPr>
      </w:pPr>
      <w:r>
        <w:rPr>
          <w:rFonts w:hint="eastAsia" w:ascii="宋体" w:hAnsi="宋体" w:cs="宋体"/>
          <w:b/>
          <w:bCs/>
          <w:color w:val="000000"/>
          <w:kern w:val="0"/>
          <w:sz w:val="24"/>
          <w:szCs w:val="24"/>
          <w:lang w:val="en-US" w:eastAsia="zh-CN"/>
        </w:rPr>
        <w:t>四</w:t>
      </w:r>
      <w:r>
        <w:rPr>
          <w:rFonts w:hint="eastAsia" w:ascii="宋体" w:hAnsi="宋体" w:eastAsia="宋体" w:cs="宋体"/>
          <w:b/>
          <w:bCs/>
          <w:color w:val="000000"/>
          <w:kern w:val="0"/>
          <w:sz w:val="24"/>
          <w:szCs w:val="24"/>
          <w:lang w:val="en-US" w:eastAsia="zh-CN"/>
        </w:rPr>
        <w:t>、服务要求：</w:t>
      </w:r>
    </w:p>
    <w:p w14:paraId="59D60E3F">
      <w:pPr>
        <w:bidi w:val="0"/>
        <w:spacing w:line="360" w:lineRule="auto"/>
        <w:ind w:firstLine="480" w:firstLineChars="200"/>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前置软件部署调试服务至</w:t>
      </w:r>
      <w:r>
        <w:rPr>
          <w:rFonts w:hint="eastAsia" w:ascii="宋体" w:hAnsi="宋体" w:eastAsia="宋体" w:cs="宋体"/>
          <w:sz w:val="24"/>
          <w:szCs w:val="24"/>
          <w:lang w:val="en-US" w:eastAsia="zh-CN"/>
        </w:rPr>
        <w:t>协助医院完成考核周期2024-2025年度对国家传染病监测预警前置软硬件运行状态持续监控、持续版本升级、持续备份管理、问题及时处理。</w:t>
      </w:r>
      <w:r>
        <w:rPr>
          <w:rFonts w:hint="eastAsia" w:ascii="宋体" w:hAnsi="宋体" w:eastAsia="宋体" w:cs="宋体"/>
          <w:b/>
          <w:bCs/>
          <w:color w:val="000000"/>
          <w:kern w:val="0"/>
          <w:sz w:val="24"/>
          <w:szCs w:val="24"/>
          <w:highlight w:val="yellow"/>
          <w:lang w:val="en-US" w:eastAsia="zh-CN"/>
        </w:rPr>
        <w:t>硬件设备提供原厂售后服务三年，中标后提供三年原厂售后服务承诺函。</w:t>
      </w:r>
    </w:p>
    <w:p w14:paraId="4CA4D0FF">
      <w:pPr>
        <w:bidi w:val="0"/>
        <w:spacing w:line="360" w:lineRule="auto"/>
        <w:rPr>
          <w:rFonts w:hint="eastAsia"/>
          <w:b/>
          <w:bCs/>
          <w:highlight w:val="yellow"/>
          <w:lang w:val="en-US" w:eastAsia="zh-CN"/>
        </w:rPr>
      </w:pPr>
    </w:p>
    <w:p w14:paraId="16BA4BFF">
      <w:pPr>
        <w:bidi w:val="0"/>
        <w:spacing w:line="360" w:lineRule="auto"/>
        <w:rPr>
          <w:rFonts w:hint="eastAsia" w:ascii="宋体" w:hAnsi="宋体" w:eastAsia="宋体" w:cs="宋体"/>
          <w:b/>
          <w:bCs/>
          <w:color w:val="FF0000"/>
          <w:kern w:val="0"/>
          <w:sz w:val="24"/>
          <w:szCs w:val="24"/>
          <w:highlight w:val="yellow"/>
          <w:lang w:val="en-US" w:eastAsia="zh-CN"/>
        </w:rPr>
      </w:pPr>
      <w:r>
        <w:rPr>
          <w:rFonts w:hint="eastAsia" w:ascii="宋体" w:hAnsi="宋体" w:eastAsia="宋体" w:cs="宋体"/>
          <w:b/>
          <w:bCs/>
          <w:color w:val="FF0000"/>
          <w:kern w:val="0"/>
          <w:sz w:val="24"/>
          <w:szCs w:val="24"/>
          <w:highlight w:val="yellow"/>
          <w:lang w:val="en-US" w:eastAsia="zh-CN"/>
        </w:rPr>
        <w:t>注：</w:t>
      </w:r>
    </w:p>
    <w:p w14:paraId="62E71AD5">
      <w:pPr>
        <w:bidi w:val="0"/>
        <w:spacing w:line="360" w:lineRule="auto"/>
        <w:rPr>
          <w:rFonts w:hint="eastAsia" w:ascii="宋体" w:hAnsi="宋体" w:eastAsia="宋体" w:cs="宋体"/>
          <w:b/>
          <w:bCs/>
          <w:color w:val="FF0000"/>
          <w:kern w:val="0"/>
          <w:sz w:val="24"/>
          <w:szCs w:val="24"/>
          <w:highlight w:val="yellow"/>
          <w:lang w:val="en-US" w:eastAsia="zh-CN"/>
        </w:rPr>
      </w:pPr>
      <w:r>
        <w:rPr>
          <w:rFonts w:hint="eastAsia" w:ascii="宋体" w:hAnsi="宋体" w:eastAsia="宋体" w:cs="宋体"/>
          <w:b/>
          <w:bCs/>
          <w:color w:val="FF0000"/>
          <w:kern w:val="0"/>
          <w:sz w:val="24"/>
          <w:szCs w:val="24"/>
          <w:highlight w:val="yellow"/>
          <w:lang w:val="en-US" w:eastAsia="zh-CN"/>
        </w:rPr>
        <w:t>1、比选文件中用“★”标注的技术参数为不允许负偏离的实质性要求和条件（如果比选文件中有标注“★”的技术参数）。供应商对用“★”标注的技术参数的响应情况须在响应文件中提供相应的证明材料予以证明。否则，评审小组视为对比选文件中用“★”标注的技术参数出现负偏离。</w:t>
      </w:r>
    </w:p>
    <w:p w14:paraId="75E94333">
      <w:pPr>
        <w:bidi w:val="0"/>
        <w:spacing w:line="360" w:lineRule="auto"/>
        <w:rPr>
          <w:rFonts w:hint="eastAsia" w:ascii="宋体" w:hAnsi="宋体" w:eastAsia="宋体" w:cs="宋体"/>
          <w:color w:val="000000"/>
          <w:kern w:val="0"/>
          <w:sz w:val="24"/>
          <w:szCs w:val="24"/>
          <w:lang w:val="en-US" w:eastAsia="zh-CN"/>
        </w:rPr>
      </w:pPr>
      <w:r>
        <w:rPr>
          <w:rFonts w:hint="eastAsia" w:ascii="宋体" w:hAnsi="宋体" w:eastAsia="宋体" w:cs="宋体"/>
          <w:b/>
          <w:bCs/>
          <w:color w:val="FF0000"/>
          <w:kern w:val="0"/>
          <w:sz w:val="24"/>
          <w:szCs w:val="24"/>
          <w:highlight w:val="yellow"/>
          <w:lang w:val="en-US" w:eastAsia="zh-CN"/>
        </w:rPr>
        <w:t>2、供应商的响应文件中其他用“★”标注的技术参数提供的相关技术证明文件是指：第三方检测报告、技术白皮书、产品说明书、产品彩页、实施方案、承诺函，提供其中之一即可。</w:t>
      </w:r>
    </w:p>
    <w:p w14:paraId="089E410E">
      <w:pPr>
        <w:pStyle w:val="2"/>
        <w:bidi w:val="0"/>
        <w:jc w:val="center"/>
        <w:rPr>
          <w:rFonts w:hint="eastAsia"/>
          <w:lang w:val="en-US" w:eastAsia="zh-CN"/>
        </w:rPr>
      </w:pPr>
      <w:r>
        <w:rPr>
          <w:rFonts w:hint="eastAsia"/>
          <w:lang w:val="en-US" w:eastAsia="zh-CN"/>
        </w:rPr>
        <w:t>（二）商务要求</w:t>
      </w:r>
    </w:p>
    <w:p w14:paraId="0A0A3277">
      <w:pPr>
        <w:bidi w:val="0"/>
        <w:spacing w:line="360" w:lineRule="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一、交货日期：合同签订后60个</w:t>
      </w:r>
      <w:r>
        <w:rPr>
          <w:rFonts w:hint="eastAsia" w:ascii="宋体" w:hAnsi="宋体" w:cs="宋体"/>
          <w:color w:val="000000"/>
          <w:kern w:val="0"/>
          <w:sz w:val="24"/>
          <w:szCs w:val="24"/>
          <w:lang w:val="en-US" w:eastAsia="zh-CN"/>
        </w:rPr>
        <w:t>工作日</w:t>
      </w:r>
      <w:r>
        <w:rPr>
          <w:rFonts w:hint="eastAsia" w:ascii="宋体" w:hAnsi="宋体" w:eastAsia="宋体" w:cs="宋体"/>
          <w:color w:val="000000"/>
          <w:kern w:val="0"/>
          <w:sz w:val="24"/>
          <w:szCs w:val="24"/>
          <w:lang w:val="en-US" w:eastAsia="zh-CN"/>
        </w:rPr>
        <w:t>内完成交货及安装调试。</w:t>
      </w:r>
    </w:p>
    <w:p w14:paraId="4A66936E">
      <w:pPr>
        <w:bidi w:val="0"/>
        <w:spacing w:line="360" w:lineRule="auto"/>
        <w:rPr>
          <w:rFonts w:hint="eastAsia" w:ascii="宋体" w:hAnsi="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二、付款方式：完成交货及安装调试</w:t>
      </w:r>
      <w:r>
        <w:rPr>
          <w:rFonts w:hint="eastAsia" w:ascii="宋体" w:hAnsi="宋体" w:cs="宋体"/>
          <w:color w:val="000000"/>
          <w:kern w:val="0"/>
          <w:sz w:val="24"/>
          <w:szCs w:val="24"/>
          <w:lang w:val="en-US" w:eastAsia="zh-CN"/>
        </w:rPr>
        <w:t>后，经采购人</w:t>
      </w:r>
      <w:r>
        <w:rPr>
          <w:rFonts w:hint="eastAsia" w:ascii="宋体" w:hAnsi="宋体" w:eastAsia="宋体" w:cs="宋体"/>
          <w:color w:val="000000"/>
          <w:kern w:val="0"/>
          <w:sz w:val="24"/>
          <w:szCs w:val="24"/>
          <w:lang w:val="en-US" w:eastAsia="zh-CN"/>
        </w:rPr>
        <w:t>项目验收合格，</w:t>
      </w:r>
      <w:r>
        <w:rPr>
          <w:rFonts w:hint="eastAsia" w:ascii="宋体" w:hAnsi="宋体" w:cs="宋体"/>
          <w:color w:val="000000"/>
          <w:kern w:val="0"/>
          <w:sz w:val="24"/>
          <w:szCs w:val="24"/>
          <w:lang w:val="en-US" w:eastAsia="zh-CN"/>
        </w:rPr>
        <w:t>由成交供应商提交支付合同款申请，采购人审核完成后一次性付合同款100%。</w:t>
      </w:r>
    </w:p>
    <w:p w14:paraId="66D5826D">
      <w:pPr>
        <w:bidi w:val="0"/>
        <w:spacing w:line="360" w:lineRule="auto"/>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三、质保期：三年（</w:t>
      </w:r>
      <w:r>
        <w:rPr>
          <w:rFonts w:ascii="宋体" w:hAnsi="宋体" w:eastAsia="宋体" w:cs="宋体"/>
          <w:sz w:val="24"/>
          <w:szCs w:val="24"/>
        </w:rPr>
        <w:t>供应商需提供原厂3年质保</w:t>
      </w:r>
      <w:r>
        <w:rPr>
          <w:rFonts w:hint="eastAsia"/>
          <w:b w:val="0"/>
          <w:bCs w:val="0"/>
          <w:sz w:val="22"/>
          <w:szCs w:val="22"/>
          <w:vertAlign w:val="baseline"/>
          <w:lang w:val="en-US" w:eastAsia="zh-CN"/>
        </w:rPr>
        <w:t>）</w:t>
      </w:r>
    </w:p>
    <w:p w14:paraId="285949ED">
      <w:pPr>
        <w:bidi w:val="0"/>
        <w:spacing w:line="360" w:lineRule="auto"/>
        <w:rPr>
          <w:rFonts w:hint="eastAsia"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四</w:t>
      </w:r>
      <w:r>
        <w:rPr>
          <w:rFonts w:hint="eastAsia" w:ascii="宋体" w:hAnsi="宋体" w:eastAsia="宋体" w:cs="宋体"/>
          <w:color w:val="000000"/>
          <w:kern w:val="0"/>
          <w:sz w:val="24"/>
          <w:szCs w:val="24"/>
          <w:lang w:val="en-US" w:eastAsia="zh-CN"/>
        </w:rPr>
        <w:t>、服务期：项目验收合格之日起设备及软件提供三年免费维保。系统发生故障时厂商应当日安排工程师进行故障排查和维护，确保系统正常使用。如遇重大紧急故障，厂商工程师无法远程维护和排除故障导致系统无法正常运行，应在三个日期日内免费安排工程师到现场进行技术服务。</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5NzRhZDBkZDkwNDZlZDExYzFkOTc4ZWIwMjc2MDAifQ=="/>
  </w:docVars>
  <w:rsids>
    <w:rsidRoot w:val="41CF3779"/>
    <w:rsid w:val="0A475469"/>
    <w:rsid w:val="0B2A0160"/>
    <w:rsid w:val="1A9C317B"/>
    <w:rsid w:val="295D4458"/>
    <w:rsid w:val="41956A55"/>
    <w:rsid w:val="41CF3779"/>
    <w:rsid w:val="426219B2"/>
    <w:rsid w:val="6A311AE6"/>
    <w:rsid w:val="75B161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unhideWhenUsed/>
    <w:qFormat/>
    <w:uiPriority w:val="0"/>
    <w:pPr>
      <w:spacing w:before="100" w:beforeLines="0" w:beforeAutospacing="1" w:after="100" w:afterLines="0" w:afterAutospacing="1"/>
      <w:jc w:val="left"/>
      <w:outlineLvl w:val="2"/>
    </w:pPr>
    <w:rPr>
      <w:rFonts w:hint="eastAsia" w:ascii="宋体" w:hAnsi="宋体" w:eastAsia="宋体" w:cs="宋体"/>
      <w:b/>
      <w:kern w:val="0"/>
      <w:sz w:val="27"/>
      <w:szCs w:val="27"/>
      <w:lang w:val="en-US" w:eastAsia="zh-CN" w:bidi="ar"/>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1833</Words>
  <Characters>1992</Characters>
  <Lines>0</Lines>
  <Paragraphs>0</Paragraphs>
  <TotalTime>0</TotalTime>
  <ScaleCrop>false</ScaleCrop>
  <LinksUpToDate>false</LinksUpToDate>
  <CharactersWithSpaces>2001</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2024-09-09T01:22:00Z</dcterms:created>
  <dc:creator>高杨</dc:creator>
  <cp:lastModifiedBy>高杨</cp:lastModifiedBy>
  <dcterms:modified xsi:type="dcterms:W3CDTF">2024-09-09T02:36:15Z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88656066CEAE45C4BFAD125C3BCC6086_13</vt:lpwstr>
  </property>
</Properties>
</file>