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20" w:firstLineChars="0"/>
        <w:jc w:val="center"/>
        <w:textAlignment w:val="auto"/>
        <w:rPr>
          <w:rFonts w:hint="eastAsia" w:ascii="仿宋_GB2312" w:hAnsi="仿宋_GB2312" w:eastAsia="仿宋_GB2312" w:cs="仿宋_GB2312"/>
          <w:b/>
          <w:bCs/>
          <w:snapToGrid/>
          <w:color w:val="auto"/>
          <w:kern w:val="2"/>
          <w:sz w:val="32"/>
          <w:szCs w:val="32"/>
          <w:lang w:val="en-US" w:eastAsia="zh-CN"/>
        </w:rPr>
      </w:pPr>
      <w:r>
        <w:rPr>
          <w:rFonts w:hint="eastAsia" w:ascii="仿宋_GB2312" w:hAnsi="仿宋_GB2312" w:eastAsia="仿宋_GB2312" w:cs="仿宋_GB2312"/>
          <w:b/>
          <w:bCs/>
          <w:snapToGrid/>
          <w:color w:val="auto"/>
          <w:kern w:val="2"/>
          <w:sz w:val="32"/>
          <w:szCs w:val="32"/>
          <w:lang w:val="en-US" w:eastAsia="zh-CN"/>
        </w:rPr>
        <w:t>蓄电池需求</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投标产品制造商资格要求</w:t>
      </w:r>
    </w:p>
    <w:p>
      <w:pPr>
        <w:widowControl w:val="0"/>
        <w:kinsoku/>
        <w:autoSpaceDE/>
        <w:autoSpaceDN/>
        <w:adjustRightInd/>
        <w:snapToGrid/>
        <w:spacing w:line="360" w:lineRule="auto"/>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投标产品必须满足以下要求，不满足视为无效投标。</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_GB2312" w:hAnsi="仿宋_GB2312" w:eastAsia="仿宋_GB2312" w:cs="仿宋_GB2312"/>
          <w:snapToGrid/>
          <w:color w:val="auto"/>
          <w:kern w:val="2"/>
          <w:sz w:val="32"/>
          <w:szCs w:val="32"/>
          <w:lang w:val="en-US" w:eastAsia="zh-CN"/>
        </w:rPr>
      </w:pPr>
      <w:r>
        <w:rPr>
          <w:rFonts w:hint="eastAsia" w:ascii="Times New Roman" w:hAnsi="Times New Roman" w:eastAsia="宋体" w:cs="Times New Roman"/>
          <w:kern w:val="2"/>
          <w:sz w:val="21"/>
          <w:szCs w:val="21"/>
          <w:highlight w:val="none"/>
          <w:lang w:val="en-US" w:eastAsia="zh-CN" w:bidi="ar-SA"/>
        </w:rPr>
        <w:t>★</w:t>
      </w:r>
      <w:r>
        <w:rPr>
          <w:rFonts w:hint="eastAsia" w:ascii="仿宋_GB2312" w:hAnsi="仿宋_GB2312" w:eastAsia="仿宋_GB2312" w:cs="仿宋_GB2312"/>
          <w:snapToGrid/>
          <w:color w:val="auto"/>
          <w:kern w:val="2"/>
          <w:sz w:val="32"/>
          <w:szCs w:val="32"/>
          <w:lang w:val="en-US" w:eastAsia="zh-CN"/>
        </w:rPr>
        <w:t>本项目不接受未通过中华人民共和国工业和信息化部和生态环境部共同颁布的《铅蓄电池行业规范条件（2015年本）》的制造商，投标人须提供蓄电池制造商在国家工信部网站上的符合《铅蓄电池行业规范条件（2015年本）》企业名单的公告截图。</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_GB2312" w:hAnsi="仿宋_GB2312" w:eastAsia="仿宋_GB2312" w:cs="仿宋_GB2312"/>
          <w:snapToGrid/>
          <w:color w:val="auto"/>
          <w:kern w:val="2"/>
          <w:sz w:val="32"/>
          <w:szCs w:val="32"/>
          <w:lang w:val="en-US" w:eastAsia="zh-CN"/>
        </w:rPr>
      </w:pPr>
      <w:r>
        <w:rPr>
          <w:rFonts w:hint="eastAsia" w:ascii="Times New Roman" w:hAnsi="Times New Roman" w:eastAsia="宋体" w:cs="Times New Roman"/>
          <w:kern w:val="2"/>
          <w:sz w:val="21"/>
          <w:szCs w:val="21"/>
          <w:highlight w:val="none"/>
          <w:lang w:val="en-US" w:eastAsia="zh-CN" w:bidi="ar-SA"/>
        </w:rPr>
        <w:t>★</w:t>
      </w:r>
      <w:r>
        <w:rPr>
          <w:rFonts w:hint="eastAsia" w:ascii="仿宋_GB2312" w:hAnsi="仿宋_GB2312" w:eastAsia="仿宋_GB2312" w:cs="仿宋_GB2312"/>
          <w:snapToGrid/>
          <w:color w:val="auto"/>
          <w:kern w:val="2"/>
          <w:sz w:val="32"/>
          <w:szCs w:val="32"/>
          <w:lang w:val="en-US" w:eastAsia="zh-CN"/>
        </w:rPr>
        <w:t>本项目不接受 OEM 代加工生产的蓄电池产品，投标人须提供蓄电池的商标注册证及生产企业的全国排污许可证，商标注册证与排污许可证上单位名称一致。</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_GB2312" w:hAnsi="仿宋_GB2312" w:eastAsia="仿宋_GB2312" w:cs="仿宋_GB2312"/>
          <w:snapToGrid/>
          <w:color w:val="auto"/>
          <w:kern w:val="2"/>
          <w:sz w:val="32"/>
          <w:szCs w:val="32"/>
          <w:lang w:val="en-US" w:eastAsia="zh-CN"/>
        </w:rPr>
      </w:pPr>
      <w:r>
        <w:rPr>
          <w:rFonts w:hint="eastAsia" w:ascii="仿宋_GB2312" w:hAnsi="仿宋_GB2312" w:eastAsia="仿宋_GB2312" w:cs="仿宋_GB2312"/>
          <w:snapToGrid/>
          <w:color w:val="auto"/>
          <w:kern w:val="2"/>
          <w:sz w:val="32"/>
          <w:szCs w:val="32"/>
          <w:lang w:val="en-US" w:eastAsia="zh-CN"/>
        </w:rPr>
        <w:t>投标产品技术要求：</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投标产品技术要求</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参数明细表：</w:t>
      </w:r>
    </w:p>
    <w:tbl>
      <w:tblPr>
        <w:tblStyle w:val="6"/>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2"/>
        <w:gridCol w:w="1900"/>
        <w:gridCol w:w="2284"/>
        <w:gridCol w:w="2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使用场所</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规格参数</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所供主机品牌</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电池数量（节）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检验科</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DSA导管室</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麻醉手术室</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90+90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ICU</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CCU</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急诊</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12V 65AH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6" w:type="dxa"/>
            <w:gridSpan w:val="3"/>
          </w:tcPr>
          <w:p>
            <w:pPr>
              <w:widowControl w:val="0"/>
              <w:tabs>
                <w:tab w:val="left" w:pos="3771"/>
              </w:tabs>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总计</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452</w:t>
            </w:r>
          </w:p>
        </w:tc>
      </w:tr>
    </w:tbl>
    <w:p>
      <w:pPr>
        <w:widowControl w:val="0"/>
        <w:kinsoku/>
        <w:autoSpaceDE/>
        <w:autoSpaceDN/>
        <w:adjustRightInd/>
        <w:snapToGrid/>
        <w:spacing w:line="360" w:lineRule="auto"/>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备注：UPS现主机品牌为PCM，投标方所安装的蓄电池需能与主机兼容，调试后供电性能正常。</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蓄电池生产企业具有ISO9001国际质量管理体系认证证书、ISO14001环境管理体系认证证书、ISO45001职业健康安全管理体系认证证书、 提供蓄电池泰尔检测报告以及泰尔认证。</w:t>
      </w:r>
      <w:r>
        <w:rPr>
          <w:rFonts w:hint="eastAsia" w:ascii="仿宋_GB2312" w:hAnsi="仿宋_GB2312" w:eastAsia="仿宋_GB2312" w:cs="仿宋_GB2312"/>
          <w:b/>
          <w:bCs/>
          <w:sz w:val="32"/>
          <w:szCs w:val="32"/>
          <w:lang w:eastAsia="zh-CN"/>
        </w:rPr>
        <w:t>需提供蓄电池制造商三年质保承诺。</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厂家进场安装新电池前，需对原UPS主机进行测试，证明主机性能良好，可以正常使用；</w:t>
      </w:r>
      <w:r>
        <w:rPr>
          <w:rFonts w:hint="eastAsia" w:ascii="仿宋_GB2312" w:hAnsi="仿宋_GB2312" w:eastAsia="仿宋_GB2312" w:cs="仿宋_GB2312"/>
          <w:b/>
          <w:bCs/>
          <w:sz w:val="32"/>
          <w:szCs w:val="32"/>
          <w:lang w:eastAsia="zh-CN"/>
        </w:rPr>
        <w:t>拆除后旧电池交由院方保留</w:t>
      </w:r>
      <w:r>
        <w:rPr>
          <w:rFonts w:hint="eastAsia" w:ascii="仿宋_GB2312" w:hAnsi="仿宋_GB2312" w:eastAsia="仿宋_GB2312" w:cs="仿宋_GB2312"/>
          <w:sz w:val="32"/>
          <w:szCs w:val="32"/>
          <w:lang w:eastAsia="zh-CN"/>
        </w:rPr>
        <w:t>，在安装调试好新电池后，再次对UPS机组进行测试，证明主机性能良好，可以正常使用，同时电池可以正常供蓄电，</w:t>
      </w:r>
      <w:r>
        <w:rPr>
          <w:rFonts w:hint="eastAsia" w:ascii="仿宋_GB2312" w:hAnsi="仿宋_GB2312" w:eastAsia="仿宋_GB2312" w:cs="仿宋_GB2312"/>
          <w:sz w:val="32"/>
          <w:szCs w:val="32"/>
          <w:highlight w:val="none"/>
          <w:lang w:val="en-US" w:eastAsia="zh-CN"/>
        </w:rPr>
        <w:t>1中参数明细表所提及的电池，</w:t>
      </w:r>
      <w:r>
        <w:rPr>
          <w:rFonts w:hint="eastAsia" w:ascii="仿宋_GB2312" w:hAnsi="仿宋_GB2312" w:eastAsia="仿宋_GB2312" w:cs="仿宋_GB2312"/>
          <w:b/>
          <w:bCs/>
          <w:sz w:val="32"/>
          <w:szCs w:val="32"/>
          <w:highlight w:val="none"/>
          <w:lang w:val="en-US" w:eastAsia="zh-CN"/>
        </w:rPr>
        <w:t>安装后所有区域（所有负载正常开启）</w:t>
      </w:r>
      <w:r>
        <w:rPr>
          <w:rFonts w:hint="eastAsia" w:ascii="仿宋_GB2312" w:hAnsi="仿宋_GB2312" w:eastAsia="仿宋_GB2312" w:cs="仿宋_GB2312"/>
          <w:b/>
          <w:bCs/>
          <w:sz w:val="32"/>
          <w:szCs w:val="32"/>
          <w:highlight w:val="none"/>
          <w:lang w:eastAsia="zh-CN"/>
        </w:rPr>
        <w:t>供电时长</w:t>
      </w:r>
      <w:r>
        <w:rPr>
          <w:rFonts w:hint="eastAsia" w:ascii="仿宋_GB2312" w:hAnsi="仿宋_GB2312" w:eastAsia="仿宋_GB2312" w:cs="仿宋_GB2312"/>
          <w:b/>
          <w:bCs/>
          <w:sz w:val="32"/>
          <w:szCs w:val="32"/>
          <w:highlight w:val="none"/>
          <w:lang w:val="en-US" w:eastAsia="zh-CN"/>
        </w:rPr>
        <w:t>均不可</w:t>
      </w:r>
      <w:r>
        <w:rPr>
          <w:rFonts w:hint="eastAsia" w:ascii="仿宋_GB2312" w:hAnsi="仿宋_GB2312" w:eastAsia="仿宋_GB2312" w:cs="仿宋_GB2312"/>
          <w:b/>
          <w:bCs/>
          <w:sz w:val="32"/>
          <w:szCs w:val="32"/>
          <w:highlight w:val="none"/>
          <w:lang w:eastAsia="zh-CN"/>
        </w:rPr>
        <w:t>低于60分钟。</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yellow"/>
          <w:lang w:eastAsia="zh-CN"/>
        </w:rPr>
        <w:t>电池寿命：依据《</w:t>
      </w:r>
      <w:r>
        <w:rPr>
          <w:rFonts w:hint="eastAsia" w:ascii="仿宋_GB2312" w:hAnsi="仿宋_GB2312" w:eastAsia="仿宋_GB2312" w:cs="仿宋_GB2312"/>
          <w:sz w:val="32"/>
          <w:szCs w:val="32"/>
          <w:highlight w:val="yellow"/>
          <w:lang w:val="en-US" w:eastAsia="zh-CN"/>
        </w:rPr>
        <w:t>YD/T 799—2010</w:t>
      </w:r>
      <w:r>
        <w:rPr>
          <w:rFonts w:hint="eastAsia" w:ascii="仿宋_GB2312" w:hAnsi="仿宋_GB2312" w:eastAsia="仿宋_GB2312" w:cs="仿宋_GB2312"/>
          <w:sz w:val="32"/>
          <w:szCs w:val="32"/>
          <w:highlight w:val="yellow"/>
          <w:lang w:eastAsia="zh-CN"/>
        </w:rPr>
        <w:t>》第</w:t>
      </w:r>
      <w:r>
        <w:rPr>
          <w:rFonts w:hint="eastAsia" w:ascii="仿宋_GB2312" w:hAnsi="仿宋_GB2312" w:eastAsia="仿宋_GB2312" w:cs="仿宋_GB2312"/>
          <w:sz w:val="32"/>
          <w:szCs w:val="32"/>
          <w:highlight w:val="yellow"/>
          <w:lang w:val="en-US" w:eastAsia="zh-CN"/>
        </w:rPr>
        <w:t>7.23.3</w:t>
      </w:r>
      <w:r>
        <w:rPr>
          <w:rFonts w:hint="eastAsia" w:ascii="仿宋_GB2312" w:hAnsi="仿宋_GB2312" w:eastAsia="仿宋_GB2312" w:cs="仿宋_GB2312"/>
          <w:sz w:val="32"/>
          <w:szCs w:val="32"/>
          <w:highlight w:val="yellow"/>
          <w:lang w:eastAsia="zh-CN"/>
        </w:rPr>
        <w:t>条款的要求进行电池</w:t>
      </w:r>
      <w:r>
        <w:rPr>
          <w:rFonts w:hint="eastAsia" w:ascii="仿宋_GB2312" w:hAnsi="仿宋_GB2312" w:eastAsia="仿宋_GB2312" w:cs="仿宋_GB2312"/>
          <w:b/>
          <w:bCs/>
          <w:sz w:val="32"/>
          <w:szCs w:val="32"/>
          <w:highlight w:val="yellow"/>
          <w:lang w:eastAsia="zh-CN"/>
        </w:rPr>
        <w:t>循环耐久性测试</w:t>
      </w:r>
      <w:r>
        <w:rPr>
          <w:rFonts w:hint="eastAsia" w:ascii="仿宋_GB2312" w:hAnsi="仿宋_GB2312" w:eastAsia="仿宋_GB2312" w:cs="仿宋_GB2312"/>
          <w:b/>
          <w:bCs/>
          <w:sz w:val="32"/>
          <w:szCs w:val="32"/>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气密性：蓄电池在环境温度25±5℃的条件下，储存24h，通过安全阀向蓄电池充气在内外压差为50Kpa时并持续不少于5s时，能够不破裂、不开胶、压力释放后壳体无残余变形；</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容量试验：蓄电池组按照《YD／T 799-2010》规定的相关方法试验，10h率容量第一次循环不低于0.95C</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，在第三次循环之前，10h 率容量应达到C</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，3h 率容量应达到0.75C</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，1h 率容量应达到0.55C</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大电流放电：蓄电池以30I</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（A）放电3min，极柱应不熔断、内部汇流排应不熔断，其外观不得出现异常。</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容量保存率：在静置28天后，其容量保存率应不低于97%；</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密封反应效率：蓄电池密封反应效率不低于97%；</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安全阀要求：蓄电池安全阀应具有自动开启和自动关闭的功能，其开阀压应是10 kPa～35 kPa，闭阀压应是3 kPa～30 kPa；</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耐过充电能力：蓄电池完全充电后，以0.3I</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A的电流连续充电160H后，应不变形、不漏液；</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端电压的均衡性：</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由若干单体组成一体的蓄电池组，其各单体间的开路电压最高与最低差值不大于100mV；</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由若干单体组成一体的蓄电池组，进入浮充状态24h后，其各单体间的端电压最高与最低差值不大于480mv；</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连接电压降：蓄电池间的连接电压降△U≤10mV。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防爆性能：蓄电池在充电过程中遇有明火，内部应不引燃、不引爆。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封口剂性能：采用封口剂的蓄电池，在环境温度-30℃～+65℃之间，封口剂应无裂纹与溢流现象。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热失控敏感性： 完全冲电后的蓄电池以2.45V/CELL的恒压连续充电168H，蓄电池温度T≦60℃，每24H内浮充电流的增长率△I≦50%。</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过度放电：蓄电池完全充电后过度放电，按照生产商确定的均充电压充电48H，容量恢复值≧90%。</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容量一致性：同组蓄电池10h率容量的最大值和最小值的差值≦5%。</w:t>
      </w:r>
    </w:p>
    <w:p>
      <w:pPr>
        <w:rPr>
          <w:rFonts w:hint="eastAsia" w:ascii="仿宋_GB2312" w:hAnsi="仿宋_GB2312" w:eastAsia="仿宋_GB2312" w:cs="仿宋_GB2312"/>
          <w:snapToGrid/>
          <w:color w:val="auto"/>
          <w:kern w:val="2"/>
          <w:sz w:val="32"/>
          <w:szCs w:val="32"/>
          <w:lang w:val="en-US" w:eastAsia="zh-CN"/>
        </w:rPr>
      </w:pPr>
      <w:r>
        <w:rPr>
          <w:rFonts w:hint="eastAsia" w:ascii="仿宋_GB2312" w:hAnsi="仿宋_GB2312" w:eastAsia="仿宋_GB2312" w:cs="仿宋_GB2312"/>
          <w:snapToGrid/>
          <w:color w:val="auto"/>
          <w:kern w:val="2"/>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20" w:firstLineChars="0"/>
        <w:jc w:val="center"/>
        <w:textAlignment w:val="auto"/>
        <w:rPr>
          <w:rFonts w:hint="eastAsia" w:ascii="仿宋_GB2312" w:hAnsi="仿宋_GB2312" w:eastAsia="仿宋_GB2312" w:cs="仿宋_GB2312"/>
          <w:b/>
          <w:bCs/>
          <w:snapToGrid/>
          <w:color w:val="auto"/>
          <w:kern w:val="2"/>
          <w:sz w:val="32"/>
          <w:szCs w:val="32"/>
          <w:lang w:val="en-US" w:eastAsia="zh-CN"/>
        </w:rPr>
      </w:pPr>
      <w:r>
        <w:rPr>
          <w:rFonts w:hint="eastAsia" w:ascii="仿宋_GB2312" w:hAnsi="仿宋_GB2312" w:eastAsia="仿宋_GB2312" w:cs="仿宋_GB2312"/>
          <w:b/>
          <w:bCs/>
          <w:snapToGrid/>
          <w:color w:val="auto"/>
          <w:kern w:val="2"/>
          <w:sz w:val="32"/>
          <w:szCs w:val="32"/>
          <w:lang w:val="en-US" w:eastAsia="zh-CN"/>
        </w:rPr>
        <w:t>商务要求</w:t>
      </w:r>
    </w:p>
    <w:tbl>
      <w:tblPr>
        <w:tblStyle w:val="8"/>
        <w:tblpPr w:leftFromText="180" w:rightFromText="180" w:vertAnchor="text" w:horzAnchor="page" w:tblpX="1377" w:tblpY="247"/>
        <w:tblOverlap w:val="never"/>
        <w:tblW w:w="9363"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4"/>
        <w:gridCol w:w="1594"/>
        <w:gridCol w:w="706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704" w:type="dxa"/>
          </w:tcPr>
          <w:p>
            <w:pPr>
              <w:spacing w:before="86" w:line="189" w:lineRule="auto"/>
              <w:ind w:left="0" w:leftChars="0"/>
              <w:jc w:val="center"/>
              <w:rPr>
                <w:rFonts w:hint="eastAsia" w:ascii="仿宋_GB2312" w:hAnsi="仿宋_GB2312" w:eastAsia="仿宋_GB2312" w:cs="仿宋_GB2312"/>
                <w:b/>
                <w:bCs/>
                <w:sz w:val="18"/>
                <w:szCs w:val="18"/>
                <w:lang w:val="en-US" w:eastAsia="zh-CN"/>
              </w:rPr>
            </w:pPr>
            <w:r>
              <w:rPr>
                <w:rFonts w:hint="eastAsia" w:ascii="仿宋_GB2312" w:hAnsi="仿宋_GB2312" w:eastAsia="仿宋_GB2312" w:cs="仿宋_GB2312"/>
                <w:b/>
                <w:bCs/>
                <w:sz w:val="18"/>
                <w:szCs w:val="18"/>
                <w:lang w:val="en-US" w:eastAsia="zh-CN"/>
              </w:rPr>
              <w:t xml:space="preserve"> 序号</w:t>
            </w:r>
          </w:p>
        </w:tc>
        <w:tc>
          <w:tcPr>
            <w:tcW w:w="1594" w:type="dxa"/>
          </w:tcPr>
          <w:p>
            <w:pPr>
              <w:spacing w:before="53" w:line="229" w:lineRule="auto"/>
              <w:ind w:left="485" w:leftChars="0"/>
              <w:jc w:val="both"/>
              <w:rPr>
                <w:rFonts w:hint="eastAsia" w:ascii="仿宋_GB2312" w:hAnsi="仿宋_GB2312" w:eastAsia="仿宋_GB2312" w:cs="仿宋_GB2312"/>
                <w:b/>
                <w:bCs/>
                <w:spacing w:val="6"/>
                <w:sz w:val="18"/>
                <w:szCs w:val="18"/>
                <w:lang w:val="en-US" w:eastAsia="zh-CN"/>
              </w:rPr>
            </w:pPr>
            <w:r>
              <w:rPr>
                <w:rFonts w:hint="eastAsia" w:ascii="仿宋_GB2312" w:hAnsi="仿宋_GB2312" w:eastAsia="仿宋_GB2312" w:cs="仿宋_GB2312"/>
                <w:b/>
                <w:bCs/>
                <w:spacing w:val="6"/>
                <w:sz w:val="18"/>
                <w:szCs w:val="18"/>
                <w:lang w:val="en-US" w:eastAsia="zh-CN"/>
              </w:rPr>
              <w:t>内容</w:t>
            </w:r>
          </w:p>
        </w:tc>
        <w:tc>
          <w:tcPr>
            <w:tcW w:w="7065" w:type="dxa"/>
          </w:tcPr>
          <w:p>
            <w:pPr>
              <w:spacing w:before="53" w:line="228" w:lineRule="auto"/>
              <w:ind w:left="116" w:leftChars="0"/>
              <w:jc w:val="center"/>
              <w:rPr>
                <w:rFonts w:hint="default" w:ascii="仿宋_GB2312" w:hAnsi="仿宋_GB2312" w:eastAsia="仿宋_GB2312" w:cs="仿宋_GB2312"/>
                <w:b/>
                <w:bCs/>
                <w:sz w:val="18"/>
                <w:szCs w:val="18"/>
                <w:lang w:val="en-US" w:eastAsia="zh-CN"/>
              </w:rPr>
            </w:pPr>
            <w:r>
              <w:rPr>
                <w:rFonts w:hint="eastAsia" w:ascii="仿宋_GB2312" w:hAnsi="仿宋_GB2312" w:eastAsia="仿宋_GB2312" w:cs="仿宋_GB2312"/>
                <w:b/>
                <w:bCs/>
                <w:sz w:val="18"/>
                <w:szCs w:val="18"/>
                <w:lang w:val="en-US" w:eastAsia="zh-CN"/>
              </w:rPr>
              <w:t>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704" w:type="dxa"/>
          </w:tcPr>
          <w:p>
            <w:pPr>
              <w:spacing w:before="86" w:line="189" w:lineRule="auto"/>
              <w:ind w:left="321"/>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94" w:type="dxa"/>
          </w:tcPr>
          <w:p>
            <w:pPr>
              <w:spacing w:before="53" w:line="229" w:lineRule="auto"/>
              <w:ind w:left="485"/>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质保期</w:t>
            </w:r>
          </w:p>
        </w:tc>
        <w:tc>
          <w:tcPr>
            <w:tcW w:w="7065" w:type="dxa"/>
          </w:tcPr>
          <w:p>
            <w:pPr>
              <w:spacing w:before="53" w:line="228" w:lineRule="auto"/>
              <w:ind w:left="116"/>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不低于3年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04" w:type="dxa"/>
          </w:tcPr>
          <w:p>
            <w:pPr>
              <w:spacing w:before="241" w:line="189" w:lineRule="auto"/>
              <w:ind w:left="308"/>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w:t>
            </w:r>
          </w:p>
        </w:tc>
        <w:tc>
          <w:tcPr>
            <w:tcW w:w="1594" w:type="dxa"/>
          </w:tcPr>
          <w:p>
            <w:pPr>
              <w:spacing w:before="52" w:line="258" w:lineRule="auto"/>
              <w:ind w:left="286" w:right="290" w:firstLine="95"/>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供货要求</w:t>
            </w:r>
            <w:r>
              <w:rPr>
                <w:rFonts w:hint="eastAsia" w:ascii="仿宋_GB2312" w:hAnsi="仿宋_GB2312" w:eastAsia="仿宋_GB2312" w:cs="仿宋_GB2312"/>
                <w:spacing w:val="2"/>
                <w:sz w:val="18"/>
                <w:szCs w:val="18"/>
              </w:rPr>
              <w:t>（货物类）</w:t>
            </w:r>
          </w:p>
        </w:tc>
        <w:tc>
          <w:tcPr>
            <w:tcW w:w="7065" w:type="dxa"/>
          </w:tcPr>
          <w:p>
            <w:pPr>
              <w:spacing w:before="208" w:line="228" w:lineRule="auto"/>
              <w:ind w:left="116"/>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2"/>
                <w:sz w:val="18"/>
                <w:szCs w:val="18"/>
                <w:lang w:eastAsia="zh-CN"/>
              </w:rPr>
              <w:t>交货时间:签订合同后15个日历天内完成供货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704" w:type="dxa"/>
          </w:tcPr>
          <w:p>
            <w:pPr>
              <w:spacing w:before="85" w:line="189" w:lineRule="auto"/>
              <w:ind w:left="309"/>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w:t>
            </w:r>
          </w:p>
        </w:tc>
        <w:tc>
          <w:tcPr>
            <w:tcW w:w="1594" w:type="dxa"/>
          </w:tcPr>
          <w:p>
            <w:pPr>
              <w:spacing w:before="53" w:line="228" w:lineRule="auto"/>
              <w:ind w:left="381"/>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售后服务</w:t>
            </w:r>
          </w:p>
        </w:tc>
        <w:tc>
          <w:tcPr>
            <w:tcW w:w="7065" w:type="dxa"/>
          </w:tcPr>
          <w:p>
            <w:pPr>
              <w:spacing w:before="53" w:line="228" w:lineRule="auto"/>
              <w:ind w:left="114"/>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符合招标文件要求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704" w:type="dxa"/>
          </w:tcPr>
          <w:p>
            <w:pPr>
              <w:spacing w:line="320" w:lineRule="auto"/>
              <w:rPr>
                <w:rFonts w:hint="eastAsia" w:ascii="仿宋_GB2312" w:hAnsi="仿宋_GB2312" w:eastAsia="仿宋_GB2312" w:cs="仿宋_GB2312"/>
                <w:sz w:val="18"/>
                <w:szCs w:val="18"/>
              </w:rPr>
            </w:pPr>
          </w:p>
          <w:p>
            <w:pPr>
              <w:spacing w:line="320" w:lineRule="auto"/>
              <w:rPr>
                <w:rFonts w:hint="eastAsia" w:ascii="仿宋_GB2312" w:hAnsi="仿宋_GB2312" w:eastAsia="仿宋_GB2312" w:cs="仿宋_GB2312"/>
                <w:sz w:val="18"/>
                <w:szCs w:val="18"/>
              </w:rPr>
            </w:pPr>
          </w:p>
          <w:p>
            <w:pPr>
              <w:spacing w:before="65" w:line="189" w:lineRule="auto"/>
              <w:ind w:left="304"/>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w:t>
            </w:r>
          </w:p>
        </w:tc>
        <w:tc>
          <w:tcPr>
            <w:tcW w:w="1594" w:type="dxa"/>
          </w:tcPr>
          <w:p>
            <w:pPr>
              <w:spacing w:line="452" w:lineRule="auto"/>
              <w:rPr>
                <w:rFonts w:hint="eastAsia" w:ascii="仿宋_GB2312" w:hAnsi="仿宋_GB2312" w:eastAsia="仿宋_GB2312" w:cs="仿宋_GB2312"/>
                <w:sz w:val="18"/>
                <w:szCs w:val="18"/>
              </w:rPr>
            </w:pPr>
          </w:p>
          <w:p>
            <w:pPr>
              <w:spacing w:before="65" w:line="259" w:lineRule="auto"/>
              <w:ind w:left="590" w:right="169" w:hanging="420"/>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包装要求（货</w:t>
            </w:r>
            <w:r>
              <w:rPr>
                <w:rFonts w:hint="eastAsia" w:ascii="仿宋_GB2312" w:hAnsi="仿宋_GB2312" w:eastAsia="仿宋_GB2312" w:cs="仿宋_GB2312"/>
                <w:sz w:val="18"/>
                <w:szCs w:val="18"/>
              </w:rPr>
              <w:t>物）</w:t>
            </w:r>
          </w:p>
        </w:tc>
        <w:tc>
          <w:tcPr>
            <w:tcW w:w="7065" w:type="dxa"/>
          </w:tcPr>
          <w:p>
            <w:pPr>
              <w:spacing w:before="52" w:line="276" w:lineRule="auto"/>
              <w:ind w:left="112" w:right="37" w:firstLine="12"/>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9"/>
                <w:sz w:val="18"/>
                <w:szCs w:val="18"/>
                <w:lang w:eastAsia="zh-CN"/>
              </w:rPr>
              <w:t>除合同另有规定外，成交人提供的全部货物均应按标准保护措施进行包装，</w:t>
            </w:r>
            <w:r>
              <w:rPr>
                <w:rFonts w:hint="eastAsia" w:ascii="仿宋_GB2312" w:hAnsi="仿宋_GB2312" w:eastAsia="仿宋_GB2312" w:cs="仿宋_GB2312"/>
                <w:spacing w:val="7"/>
                <w:sz w:val="18"/>
                <w:szCs w:val="18"/>
                <w:lang w:eastAsia="zh-CN"/>
              </w:rPr>
              <w:t>涉及木质制品及木制包装材料的（含铺垫、支撑、加固设施设备等</w:t>
            </w:r>
            <w:r>
              <w:rPr>
                <w:rFonts w:hint="eastAsia" w:ascii="仿宋_GB2312" w:hAnsi="仿宋_GB2312" w:eastAsia="仿宋_GB2312" w:cs="仿宋_GB2312"/>
                <w:spacing w:val="2"/>
                <w:sz w:val="18"/>
                <w:szCs w:val="18"/>
                <w:lang w:eastAsia="zh-CN"/>
              </w:rPr>
              <w:t>），</w:t>
            </w:r>
            <w:r>
              <w:rPr>
                <w:rFonts w:hint="eastAsia" w:ascii="仿宋_GB2312" w:hAnsi="仿宋_GB2312" w:eastAsia="仿宋_GB2312" w:cs="仿宋_GB2312"/>
                <w:spacing w:val="7"/>
                <w:sz w:val="18"/>
                <w:szCs w:val="18"/>
                <w:lang w:eastAsia="zh-CN"/>
              </w:rPr>
              <w:t>禁止使用和调入松木及其制品。该包装应适应远距离运输、防</w:t>
            </w:r>
            <w:r>
              <w:rPr>
                <w:rFonts w:hint="eastAsia" w:ascii="仿宋_GB2312" w:hAnsi="仿宋_GB2312" w:eastAsia="仿宋_GB2312" w:cs="仿宋_GB2312"/>
                <w:spacing w:val="6"/>
                <w:sz w:val="18"/>
                <w:szCs w:val="18"/>
                <w:lang w:eastAsia="zh-CN"/>
              </w:rPr>
              <w:t>潮、防震、防锈和</w:t>
            </w:r>
            <w:r>
              <w:rPr>
                <w:rFonts w:hint="eastAsia" w:ascii="仿宋_GB2312" w:hAnsi="仿宋_GB2312" w:eastAsia="仿宋_GB2312" w:cs="仿宋_GB2312"/>
                <w:spacing w:val="3"/>
                <w:sz w:val="18"/>
                <w:szCs w:val="18"/>
                <w:lang w:eastAsia="zh-CN"/>
              </w:rPr>
              <w:t>防野蛮装卸，确保货物安全无损运抵现场。由于包装不善所引起的货物锈蚀、</w:t>
            </w:r>
            <w:r>
              <w:rPr>
                <w:rFonts w:hint="eastAsia" w:ascii="仿宋_GB2312" w:hAnsi="仿宋_GB2312" w:eastAsia="仿宋_GB2312" w:cs="仿宋_GB2312"/>
                <w:spacing w:val="8"/>
                <w:sz w:val="18"/>
                <w:szCs w:val="18"/>
                <w:lang w:eastAsia="zh-CN"/>
              </w:rPr>
              <w:t>损坏和损失均由成交人承担。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04" w:type="dxa"/>
          </w:tcPr>
          <w:p>
            <w:pPr>
              <w:spacing w:before="243" w:line="187" w:lineRule="auto"/>
              <w:ind w:left="309"/>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w:t>
            </w:r>
          </w:p>
        </w:tc>
        <w:tc>
          <w:tcPr>
            <w:tcW w:w="1594" w:type="dxa"/>
          </w:tcPr>
          <w:p>
            <w:pPr>
              <w:spacing w:before="209" w:line="228" w:lineRule="auto"/>
              <w:ind w:left="589"/>
              <w:jc w:val="left"/>
              <w:rPr>
                <w:rFonts w:hint="eastAsia" w:ascii="仿宋_GB2312" w:hAnsi="仿宋_GB2312" w:eastAsia="仿宋_GB2312" w:cs="仿宋_GB2312"/>
                <w:sz w:val="18"/>
                <w:szCs w:val="18"/>
              </w:rPr>
            </w:pPr>
            <w:r>
              <w:rPr>
                <w:rFonts w:hint="eastAsia" w:ascii="仿宋_GB2312" w:hAnsi="仿宋_GB2312" w:eastAsia="仿宋_GB2312" w:cs="仿宋_GB2312"/>
                <w:spacing w:val="5"/>
                <w:sz w:val="18"/>
                <w:szCs w:val="18"/>
              </w:rPr>
              <w:t>验收</w:t>
            </w:r>
          </w:p>
        </w:tc>
        <w:tc>
          <w:tcPr>
            <w:tcW w:w="7065" w:type="dxa"/>
          </w:tcPr>
          <w:p>
            <w:pPr>
              <w:spacing w:before="53" w:line="258" w:lineRule="auto"/>
              <w:ind w:left="112" w:right="108" w:hanging="1"/>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pacing w:val="7"/>
                <w:sz w:val="18"/>
                <w:szCs w:val="18"/>
                <w:lang w:eastAsia="zh-CN"/>
              </w:rPr>
              <w:t>验收由招标人组织相关人员依据国家有关标准、合同及有关附件要求进行综</w:t>
            </w:r>
            <w:r>
              <w:rPr>
                <w:rFonts w:hint="eastAsia" w:ascii="仿宋_GB2312" w:hAnsi="仿宋_GB2312" w:eastAsia="仿宋_GB2312" w:cs="仿宋_GB2312"/>
                <w:spacing w:val="6"/>
                <w:sz w:val="18"/>
                <w:szCs w:val="18"/>
                <w:lang w:eastAsia="zh-CN"/>
              </w:rPr>
              <w:t>合验收，</w:t>
            </w:r>
            <w:r>
              <w:rPr>
                <w:rFonts w:hint="eastAsia" w:ascii="仿宋_GB2312" w:hAnsi="仿宋_GB2312" w:eastAsia="仿宋_GB2312" w:cs="仿宋_GB2312"/>
                <w:spacing w:val="6"/>
                <w:sz w:val="18"/>
                <w:szCs w:val="18"/>
                <w:highlight w:val="yellow"/>
                <w:lang w:val="en-US" w:eastAsia="zh-CN"/>
              </w:rPr>
              <w:t>交货前对安装货物（452节电池）进行抽检，交由具有检测资质的第三方进行检测，并出具报告。报告结果为合格后，方可进厂安装，检测过程中所产生的费用均由供货方承担。</w:t>
            </w:r>
            <w:bookmarkStart w:id="1" w:name="_GoBack"/>
            <w:bookmarkEnd w:id="1"/>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 w:hRule="atLeast"/>
        </w:trPr>
        <w:tc>
          <w:tcPr>
            <w:tcW w:w="704" w:type="dxa"/>
          </w:tcPr>
          <w:p>
            <w:pPr>
              <w:spacing w:line="330" w:lineRule="auto"/>
              <w:rPr>
                <w:rFonts w:hint="eastAsia" w:ascii="仿宋_GB2312" w:hAnsi="仿宋_GB2312" w:eastAsia="仿宋_GB2312" w:cs="仿宋_GB2312"/>
                <w:sz w:val="18"/>
                <w:szCs w:val="18"/>
                <w:lang w:eastAsia="zh-CN"/>
              </w:rPr>
            </w:pPr>
          </w:p>
          <w:p>
            <w:pPr>
              <w:spacing w:before="65" w:line="189" w:lineRule="auto"/>
              <w:ind w:left="307"/>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w:t>
            </w:r>
          </w:p>
        </w:tc>
        <w:tc>
          <w:tcPr>
            <w:tcW w:w="1594" w:type="dxa"/>
          </w:tcPr>
          <w:p>
            <w:pPr>
              <w:spacing w:line="298" w:lineRule="auto"/>
              <w:rPr>
                <w:rFonts w:hint="eastAsia" w:ascii="仿宋_GB2312" w:hAnsi="仿宋_GB2312" w:eastAsia="仿宋_GB2312" w:cs="仿宋_GB2312"/>
                <w:sz w:val="18"/>
                <w:szCs w:val="18"/>
              </w:rPr>
            </w:pPr>
          </w:p>
          <w:p>
            <w:pPr>
              <w:spacing w:before="65" w:line="228" w:lineRule="auto"/>
              <w:ind w:left="590"/>
              <w:rPr>
                <w:rFonts w:hint="eastAsia" w:ascii="仿宋_GB2312" w:hAnsi="仿宋_GB2312" w:eastAsia="仿宋_GB2312" w:cs="仿宋_GB2312"/>
                <w:sz w:val="18"/>
                <w:szCs w:val="18"/>
              </w:rPr>
            </w:pPr>
            <w:r>
              <w:rPr>
                <w:rFonts w:hint="eastAsia" w:ascii="仿宋_GB2312" w:hAnsi="仿宋_GB2312" w:eastAsia="仿宋_GB2312" w:cs="仿宋_GB2312"/>
                <w:spacing w:val="4"/>
                <w:sz w:val="18"/>
                <w:szCs w:val="18"/>
              </w:rPr>
              <w:t>付款</w:t>
            </w:r>
          </w:p>
        </w:tc>
        <w:tc>
          <w:tcPr>
            <w:tcW w:w="7065" w:type="dxa"/>
          </w:tcPr>
          <w:p>
            <w:pPr>
              <w:spacing w:before="52" w:line="228" w:lineRule="auto"/>
              <w:ind w:left="112"/>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8"/>
                <w:sz w:val="18"/>
                <w:szCs w:val="18"/>
                <w:lang w:eastAsia="zh-CN"/>
              </w:rPr>
              <w:t>付款人：付款方式：完成交货并验收合格，且提供发票后付合同价的90%；质保期满</w:t>
            </w:r>
            <w:r>
              <w:rPr>
                <w:rFonts w:hint="eastAsia" w:ascii="仿宋_GB2312" w:hAnsi="仿宋_GB2312" w:eastAsia="仿宋_GB2312" w:cs="仿宋_GB2312"/>
                <w:spacing w:val="6"/>
                <w:sz w:val="18"/>
                <w:szCs w:val="18"/>
                <w:lang w:eastAsia="zh-CN"/>
              </w:rPr>
              <w:t>后付清余款。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0" w:hRule="atLeast"/>
        </w:trPr>
        <w:tc>
          <w:tcPr>
            <w:tcW w:w="704" w:type="dxa"/>
          </w:tcPr>
          <w:p>
            <w:pPr>
              <w:spacing w:line="394" w:lineRule="auto"/>
              <w:rPr>
                <w:rFonts w:hint="eastAsia" w:ascii="仿宋_GB2312" w:hAnsi="仿宋_GB2312" w:eastAsia="仿宋_GB2312" w:cs="仿宋_GB2312"/>
                <w:sz w:val="18"/>
                <w:szCs w:val="18"/>
                <w:lang w:eastAsia="zh-CN"/>
              </w:rPr>
            </w:pPr>
          </w:p>
          <w:p>
            <w:pPr>
              <w:spacing w:before="65" w:line="187" w:lineRule="auto"/>
              <w:ind w:left="31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w:t>
            </w:r>
          </w:p>
        </w:tc>
        <w:tc>
          <w:tcPr>
            <w:tcW w:w="1594" w:type="dxa"/>
          </w:tcPr>
          <w:p>
            <w:pPr>
              <w:spacing w:line="359" w:lineRule="auto"/>
              <w:rPr>
                <w:rFonts w:hint="eastAsia" w:ascii="仿宋_GB2312" w:hAnsi="仿宋_GB2312" w:eastAsia="仿宋_GB2312" w:cs="仿宋_GB2312"/>
                <w:sz w:val="18"/>
                <w:szCs w:val="18"/>
              </w:rPr>
            </w:pPr>
          </w:p>
          <w:p>
            <w:pPr>
              <w:spacing w:before="65" w:line="229" w:lineRule="auto"/>
              <w:ind w:left="279"/>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履约保证金</w:t>
            </w:r>
          </w:p>
        </w:tc>
        <w:tc>
          <w:tcPr>
            <w:tcW w:w="7065" w:type="dxa"/>
          </w:tcPr>
          <w:p>
            <w:pPr>
              <w:spacing w:before="23" w:line="272" w:lineRule="auto"/>
              <w:ind w:left="111" w:right="108" w:firstLine="4"/>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9"/>
                <w:sz w:val="18"/>
                <w:szCs w:val="18"/>
                <w:lang w:eastAsia="zh-CN"/>
              </w:rPr>
              <w:t>履约保证金：签订合同前向采购人缴纳合同金额的2%的履约保证金。（政府采购货物和服务项目履约保证金最高缴纳</w:t>
            </w:r>
            <w:r>
              <w:rPr>
                <w:rFonts w:hint="eastAsia" w:ascii="仿宋_GB2312" w:hAnsi="仿宋_GB2312" w:eastAsia="仿宋_GB2312" w:cs="仿宋_GB2312"/>
                <w:spacing w:val="8"/>
                <w:sz w:val="18"/>
                <w:szCs w:val="18"/>
                <w:lang w:eastAsia="zh-CN"/>
              </w:rPr>
              <w:t>比例不超过合同金额的2.5%）</w:t>
            </w:r>
          </w:p>
          <w:p>
            <w:pPr>
              <w:spacing w:before="65" w:line="229" w:lineRule="auto"/>
              <w:ind w:left="115"/>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8"/>
                <w:sz w:val="18"/>
                <w:szCs w:val="18"/>
                <w:lang w:eastAsia="zh-CN"/>
              </w:rPr>
              <w:t>履约保证金形式：转账、电汇、保函。</w:t>
            </w:r>
          </w:p>
        </w:tc>
      </w:tr>
    </w:tbl>
    <w:p>
      <w:pPr>
        <w:numPr>
          <w:ilvl w:val="0"/>
          <w:numId w:val="0"/>
        </w:numPr>
        <w:spacing w:line="360" w:lineRule="auto"/>
        <w:rPr>
          <w:rFonts w:hint="default" w:ascii="仿宋_GB2312" w:hAnsi="仿宋_GB2312" w:eastAsia="仿宋_GB2312" w:cs="仿宋_GB2312"/>
          <w:sz w:val="18"/>
          <w:szCs w:val="18"/>
          <w:lang w:val="en-US" w:eastAsia="zh-CN"/>
        </w:rPr>
      </w:pPr>
      <w:bookmarkStart w:id="0" w:name="bookmark17"/>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E07CE3"/>
    <w:multiLevelType w:val="singleLevel"/>
    <w:tmpl w:val="87E07CE3"/>
    <w:lvl w:ilvl="0" w:tentative="0">
      <w:start w:val="1"/>
      <w:numFmt w:val="chineseCounting"/>
      <w:suff w:val="nothing"/>
      <w:lvlText w:val="%1、"/>
      <w:lvlJc w:val="left"/>
      <w:pPr>
        <w:ind w:left="0" w:firstLine="420"/>
      </w:pPr>
      <w:rPr>
        <w:rFonts w:hint="eastAsia"/>
      </w:rPr>
    </w:lvl>
  </w:abstractNum>
  <w:abstractNum w:abstractNumId="1">
    <w:nsid w:val="9A7FFE45"/>
    <w:multiLevelType w:val="singleLevel"/>
    <w:tmpl w:val="9A7FFE45"/>
    <w:lvl w:ilvl="0" w:tentative="0">
      <w:start w:val="1"/>
      <w:numFmt w:val="decimal"/>
      <w:suff w:val="nothing"/>
      <w:lvlText w:val="%1．"/>
      <w:lvlJc w:val="left"/>
      <w:pPr>
        <w:ind w:left="0" w:firstLine="400"/>
      </w:pPr>
      <w:rPr>
        <w:rFonts w:hint="default"/>
      </w:rPr>
    </w:lvl>
  </w:abstractNum>
  <w:abstractNum w:abstractNumId="2">
    <w:nsid w:val="B33ABCEA"/>
    <w:multiLevelType w:val="singleLevel"/>
    <w:tmpl w:val="B33ABCEA"/>
    <w:lvl w:ilvl="0" w:tentative="0">
      <w:start w:val="1"/>
      <w:numFmt w:val="chineseCounting"/>
      <w:suff w:val="nothing"/>
      <w:lvlText w:val="%1、"/>
      <w:lvlJc w:val="left"/>
      <w:pPr>
        <w:ind w:left="0" w:firstLine="420"/>
      </w:pPr>
      <w:rPr>
        <w:rFonts w:hint="eastAsia"/>
      </w:rPr>
    </w:lvl>
  </w:abstractNum>
  <w:abstractNum w:abstractNumId="3">
    <w:nsid w:val="C9F0B00A"/>
    <w:multiLevelType w:val="singleLevel"/>
    <w:tmpl w:val="C9F0B00A"/>
    <w:lvl w:ilvl="0" w:tentative="0">
      <w:start w:val="1"/>
      <w:numFmt w:val="decimal"/>
      <w:suff w:val="nothing"/>
      <w:lvlText w:val="%1．"/>
      <w:lvlJc w:val="left"/>
      <w:pPr>
        <w:ind w:left="0" w:firstLine="400"/>
      </w:pPr>
      <w:rPr>
        <w:rFonts w:hint="default"/>
      </w:rPr>
    </w:lvl>
  </w:abstractNum>
  <w:abstractNum w:abstractNumId="4">
    <w:nsid w:val="D8E51B4B"/>
    <w:multiLevelType w:val="singleLevel"/>
    <w:tmpl w:val="D8E51B4B"/>
    <w:lvl w:ilvl="0" w:tentative="0">
      <w:start w:val="1"/>
      <w:numFmt w:val="decimal"/>
      <w:suff w:val="nothing"/>
      <w:lvlText w:val="(%1)"/>
      <w:lvlJc w:val="left"/>
      <w:pPr>
        <w:ind w:left="0" w:leftChars="0" w:firstLine="0" w:firstLineChars="0"/>
      </w:pPr>
      <w:rPr>
        <w:rFont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hMzY5YWM4YjAwYTgyYTAxMDMwOGY2YmNmMWUxNjcifQ=="/>
  </w:docVars>
  <w:rsids>
    <w:rsidRoot w:val="18E16DA4"/>
    <w:rsid w:val="00312CF7"/>
    <w:rsid w:val="0066388A"/>
    <w:rsid w:val="008A62A6"/>
    <w:rsid w:val="00B24DA3"/>
    <w:rsid w:val="04293B45"/>
    <w:rsid w:val="08A030F4"/>
    <w:rsid w:val="094A20CE"/>
    <w:rsid w:val="09730682"/>
    <w:rsid w:val="129E0E8D"/>
    <w:rsid w:val="13E83AA4"/>
    <w:rsid w:val="168D4C8D"/>
    <w:rsid w:val="18E16DA4"/>
    <w:rsid w:val="19882298"/>
    <w:rsid w:val="1F941997"/>
    <w:rsid w:val="1FBA42C9"/>
    <w:rsid w:val="2416546A"/>
    <w:rsid w:val="29E810E2"/>
    <w:rsid w:val="30B23518"/>
    <w:rsid w:val="327543F0"/>
    <w:rsid w:val="388465BB"/>
    <w:rsid w:val="38EF5A49"/>
    <w:rsid w:val="3CE40C95"/>
    <w:rsid w:val="3D163594"/>
    <w:rsid w:val="3D7A7FC6"/>
    <w:rsid w:val="3F0D77D9"/>
    <w:rsid w:val="434D1CD9"/>
    <w:rsid w:val="466C06C8"/>
    <w:rsid w:val="46F56CF9"/>
    <w:rsid w:val="4B2477C4"/>
    <w:rsid w:val="4C626350"/>
    <w:rsid w:val="4E8D5680"/>
    <w:rsid w:val="4E971BB2"/>
    <w:rsid w:val="4ECE10DB"/>
    <w:rsid w:val="50A12196"/>
    <w:rsid w:val="510D5033"/>
    <w:rsid w:val="526B7335"/>
    <w:rsid w:val="5D5201C0"/>
    <w:rsid w:val="5F203BCA"/>
    <w:rsid w:val="60553063"/>
    <w:rsid w:val="63B7057F"/>
    <w:rsid w:val="690A48DA"/>
    <w:rsid w:val="69CF3E72"/>
    <w:rsid w:val="6A742471"/>
    <w:rsid w:val="6C776A1E"/>
    <w:rsid w:val="709D12FB"/>
    <w:rsid w:val="713737CC"/>
    <w:rsid w:val="74AD554E"/>
    <w:rsid w:val="75C6318C"/>
    <w:rsid w:val="75D21A46"/>
    <w:rsid w:val="7CA85FD9"/>
    <w:rsid w:val="7D4A538F"/>
    <w:rsid w:val="7EBC14E6"/>
    <w:rsid w:val="7ED30AD2"/>
    <w:rsid w:val="7F113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无间隔1"/>
    <w:qFormat/>
    <w:uiPriority w:val="0"/>
    <w:pPr>
      <w:widowControl w:val="0"/>
      <w:spacing w:after="0" w:line="240" w:lineRule="auto"/>
      <w:jc w:val="both"/>
    </w:pPr>
    <w:rPr>
      <w:rFonts w:ascii="Calibri" w:hAnsi="Calibri" w:eastAsia="宋体" w:cs="Times New Roman"/>
      <w:kern w:val="2"/>
      <w:sz w:val="21"/>
      <w:szCs w:val="22"/>
      <w:lang w:val="en-US" w:eastAsia="zh-CN" w:bidi="ar-SA"/>
    </w:rPr>
  </w:style>
  <w:style w:type="paragraph" w:styleId="3">
    <w:name w:val="footer"/>
    <w:basedOn w:val="1"/>
    <w:link w:val="9"/>
    <w:qFormat/>
    <w:uiPriority w:val="0"/>
    <w:pPr>
      <w:tabs>
        <w:tab w:val="center" w:pos="4153"/>
        <w:tab w:val="right" w:pos="8306"/>
      </w:tabs>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页脚 Char"/>
    <w:basedOn w:val="7"/>
    <w:link w:val="3"/>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2102</Words>
  <Characters>2340</Characters>
  <Lines>18</Lines>
  <Paragraphs>5</Paragraphs>
  <TotalTime>872</TotalTime>
  <ScaleCrop>false</ScaleCrop>
  <LinksUpToDate>false</LinksUpToDate>
  <CharactersWithSpaces>2363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2024-05-27T07:00:00Z</dcterms:created>
  <dc:creator>花开盛夏</dc:creator>
  <cp:lastModifiedBy>花开盛夏</cp:lastModifiedBy>
  <cp:lastPrinted>2024-05-27T08:05:00Z</cp:lastPrinted>
  <dcterms:modified xsi:type="dcterms:W3CDTF">2024-08-13T01:50:30Z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36369ACCC3474C59883B33687D955060_13</vt:lpwstr>
  </property>
</Properties>
</file>