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Style w:val="7"/>
          <w:rFonts w:hint="eastAsia" w:ascii="Times New Roman" w:hAnsi="Times New Roman" w:eastAsia="宋体" w:cs="Times New Roman"/>
          <w:b/>
          <w:bCs/>
          <w:sz w:val="30"/>
          <w:szCs w:val="30"/>
          <w:lang w:val="en-US" w:eastAsia="zh-CN" w:bidi="ar-SA"/>
        </w:rPr>
      </w:pPr>
      <w:r>
        <w:rPr>
          <w:rStyle w:val="7"/>
          <w:rFonts w:hint="eastAsia" w:ascii="Times New Roman" w:hAnsi="Times New Roman" w:eastAsia="宋体" w:cs="Times New Roman"/>
          <w:b/>
          <w:bCs/>
          <w:sz w:val="30"/>
          <w:szCs w:val="30"/>
          <w:lang w:val="en-US" w:eastAsia="zh-CN" w:bidi="ar-SA"/>
        </w:rPr>
        <w:t>采购内容及相关要求</w:t>
      </w:r>
    </w:p>
    <w:p>
      <w:pPr>
        <w:jc w:val="center"/>
        <w:rPr>
          <w:rFonts w:hint="eastAsia" w:ascii="宋体" w:hAnsi="宋体" w:eastAsia="宋体" w:cs="宋体"/>
          <w:b/>
          <w:bCs/>
          <w:sz w:val="28"/>
          <w:szCs w:val="28"/>
        </w:rPr>
      </w:pPr>
      <w:r>
        <w:rPr>
          <w:rFonts w:hint="eastAsia" w:ascii="宋体" w:hAnsi="宋体" w:eastAsia="宋体" w:cs="宋体"/>
          <w:b/>
          <w:bCs/>
          <w:sz w:val="28"/>
          <w:szCs w:val="28"/>
          <w:lang w:eastAsia="zh-CN"/>
        </w:rPr>
        <w:t>一、供应商</w:t>
      </w:r>
      <w:r>
        <w:rPr>
          <w:rFonts w:hint="eastAsia" w:ascii="宋体" w:hAnsi="宋体" w:eastAsia="宋体" w:cs="宋体"/>
          <w:b/>
          <w:bCs/>
          <w:sz w:val="28"/>
          <w:szCs w:val="28"/>
        </w:rPr>
        <w:t>资质</w:t>
      </w:r>
      <w:r>
        <w:rPr>
          <w:rFonts w:hint="eastAsia" w:ascii="宋体" w:hAnsi="宋体" w:eastAsia="宋体" w:cs="宋体"/>
          <w:b/>
          <w:bCs/>
          <w:sz w:val="28"/>
          <w:szCs w:val="28"/>
          <w:lang w:val="en-US" w:eastAsia="zh-CN"/>
        </w:rPr>
        <w:t>及预算</w:t>
      </w:r>
      <w:r>
        <w:rPr>
          <w:rFonts w:hint="eastAsia" w:ascii="宋体" w:hAnsi="宋体" w:eastAsia="宋体" w:cs="宋体"/>
          <w:b/>
          <w:bCs/>
          <w:sz w:val="28"/>
          <w:szCs w:val="28"/>
        </w:rPr>
        <w:t>：</w:t>
      </w:r>
    </w:p>
    <w:p>
      <w:pPr>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rPr>
        <w:t>工程设计乙级或以上资质，且在马鞍山市房屋建筑和市政基础设施工程施工图审查系统内注册</w:t>
      </w:r>
      <w:r>
        <w:rPr>
          <w:rFonts w:hint="eastAsia" w:ascii="宋体" w:hAnsi="宋体" w:eastAsia="宋体" w:cs="宋体"/>
          <w:sz w:val="28"/>
          <w:szCs w:val="28"/>
          <w:lang w:eastAsia="zh-CN"/>
        </w:rPr>
        <w:t>，具有马鞍山市本地化服务能力—供应商营业执照地址或租赁办公地点的合同地址，距离马鞍山市人民医院东院10公里范围内。</w:t>
      </w:r>
    </w:p>
    <w:p>
      <w:pPr>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服务期：3年。（合同采用“1+1+1模式”，每年一签）</w:t>
      </w:r>
    </w:p>
    <w:p>
      <w:pPr>
        <w:spacing w:line="500" w:lineRule="exact"/>
        <w:ind w:firstLine="560" w:firstLineChars="200"/>
        <w:rPr>
          <w:rFonts w:hint="eastAsia" w:ascii="宋体" w:hAnsi="宋体" w:eastAsia="宋体" w:cs="宋体"/>
          <w:color w:val="FF0000"/>
          <w:sz w:val="28"/>
          <w:szCs w:val="28"/>
          <w:lang w:eastAsia="zh-CN"/>
        </w:rPr>
      </w:pPr>
      <w:r>
        <w:rPr>
          <w:rFonts w:hint="eastAsia" w:ascii="宋体" w:hAnsi="宋体" w:eastAsia="宋体" w:cs="宋体"/>
          <w:color w:val="FF0000"/>
          <w:sz w:val="28"/>
          <w:szCs w:val="28"/>
          <w:lang w:val="en-US" w:eastAsia="zh-CN"/>
        </w:rPr>
        <w:t>注：</w:t>
      </w:r>
      <w:r>
        <w:rPr>
          <w:rFonts w:hint="eastAsia" w:ascii="宋体" w:hAnsi="宋体" w:eastAsia="宋体" w:cs="宋体"/>
          <w:color w:val="FF0000"/>
          <w:sz w:val="28"/>
          <w:szCs w:val="28"/>
          <w:lang w:eastAsia="zh-CN"/>
        </w:rPr>
        <w:t>成交后合同签订之日起一年，合同期满前2个月，在成交供应商提出续签申请的情况下，采购人进行综合评估、考核，经考核合格，则本合同按采购人规定进行续签。若期满前2个月时，成交供应商不提出续签申请，则合同届满之日起自动终止，</w:t>
      </w:r>
      <w:r>
        <w:rPr>
          <w:rFonts w:hint="eastAsia" w:ascii="宋体" w:hAnsi="宋体" w:eastAsia="宋体" w:cs="宋体"/>
          <w:color w:val="FF0000"/>
          <w:sz w:val="28"/>
          <w:szCs w:val="28"/>
          <w:lang w:val="en-US" w:eastAsia="zh-CN"/>
        </w:rPr>
        <w:t>采购人</w:t>
      </w:r>
      <w:r>
        <w:rPr>
          <w:rFonts w:hint="eastAsia" w:ascii="宋体" w:hAnsi="宋体" w:eastAsia="宋体" w:cs="宋体"/>
          <w:color w:val="FF0000"/>
          <w:sz w:val="28"/>
          <w:szCs w:val="28"/>
          <w:lang w:eastAsia="zh-CN"/>
        </w:rPr>
        <w:t>有权重新组织该项目的采购工作。若合同期满成交供应商未能通过采购人相关考核的采购人有权拒绝续签。</w:t>
      </w:r>
    </w:p>
    <w:p>
      <w:pPr>
        <w:numPr>
          <w:ilvl w:val="0"/>
          <w:numId w:val="0"/>
        </w:numPr>
        <w:ind w:leftChars="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预算价：9万元/年</w:t>
      </w:r>
    </w:p>
    <w:p>
      <w:pPr>
        <w:numPr>
          <w:ilvl w:val="0"/>
          <w:numId w:val="0"/>
        </w:numPr>
        <w:ind w:leftChars="0"/>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最高投标费率：4.5%</w:t>
      </w:r>
    </w:p>
    <w:p>
      <w:pPr>
        <w:pStyle w:val="4"/>
        <w:rPr>
          <w:rFonts w:hint="eastAsia"/>
        </w:rPr>
      </w:pPr>
    </w:p>
    <w:p>
      <w:pPr>
        <w:numPr>
          <w:ilvl w:val="0"/>
          <w:numId w:val="1"/>
        </w:num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rPr>
        <w:t>服务内容：</w:t>
      </w:r>
    </w:p>
    <w:p>
      <w:pPr>
        <w:numPr>
          <w:ilvl w:val="0"/>
          <w:numId w:val="0"/>
        </w:numPr>
        <w:ind w:firstLine="560" w:firstLineChars="200"/>
        <w:jc w:val="both"/>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成交供应商</w:t>
      </w:r>
      <w:r>
        <w:rPr>
          <w:rFonts w:hint="eastAsia" w:ascii="宋体" w:hAnsi="宋体" w:eastAsia="宋体" w:cs="宋体"/>
          <w:sz w:val="28"/>
          <w:szCs w:val="28"/>
        </w:rPr>
        <w:t>须对市人民医院零星工程进行施工图绘制，并在工程发生变更时出具设计变更图，需图审的项目由</w:t>
      </w:r>
      <w:r>
        <w:rPr>
          <w:rFonts w:hint="eastAsia" w:ascii="宋体" w:hAnsi="宋体" w:eastAsia="宋体" w:cs="宋体"/>
          <w:sz w:val="28"/>
          <w:szCs w:val="28"/>
          <w:lang w:eastAsia="zh-CN"/>
        </w:rPr>
        <w:t>成交供应商</w:t>
      </w:r>
      <w:r>
        <w:rPr>
          <w:rFonts w:hint="eastAsia" w:ascii="宋体" w:hAnsi="宋体" w:eastAsia="宋体" w:cs="宋体"/>
          <w:sz w:val="28"/>
          <w:szCs w:val="28"/>
        </w:rPr>
        <w:t>负责在在马鞍山市房屋建筑和市政基础设施工程施工图审查系统内申报并确保图审合格（图审费用由甲方支付）。</w:t>
      </w:r>
      <w:r>
        <w:rPr>
          <w:rFonts w:hint="eastAsia" w:ascii="宋体" w:hAnsi="宋体" w:eastAsia="宋体" w:cs="宋体"/>
          <w:sz w:val="28"/>
          <w:szCs w:val="28"/>
          <w:lang w:eastAsia="zh-CN"/>
        </w:rPr>
        <w:t>成交供应商</w:t>
      </w:r>
      <w:r>
        <w:rPr>
          <w:rFonts w:hint="eastAsia" w:ascii="宋体" w:hAnsi="宋体" w:eastAsia="宋体" w:cs="宋体"/>
          <w:sz w:val="28"/>
          <w:szCs w:val="28"/>
        </w:rPr>
        <w:t>每个项目提供4套完整施工蓝图及电子版图纸。</w:t>
      </w:r>
    </w:p>
    <w:p>
      <w:pPr>
        <w:ind w:firstLine="562" w:firstLineChars="200"/>
        <w:rPr>
          <w:rFonts w:hint="eastAsia" w:ascii="宋体" w:hAnsi="宋体" w:eastAsia="宋体" w:cs="宋体"/>
          <w:sz w:val="28"/>
          <w:szCs w:val="28"/>
        </w:rPr>
      </w:pPr>
      <w:r>
        <w:rPr>
          <w:rFonts w:hint="eastAsia" w:ascii="宋体" w:hAnsi="宋体" w:eastAsia="宋体" w:cs="宋体"/>
          <w:b/>
          <w:bCs/>
          <w:sz w:val="28"/>
          <w:szCs w:val="28"/>
          <w:lang w:val="en-US" w:eastAsia="zh-CN"/>
        </w:rPr>
        <w:t>2、</w:t>
      </w:r>
      <w:r>
        <w:rPr>
          <w:rFonts w:hint="eastAsia" w:ascii="宋体" w:hAnsi="宋体" w:eastAsia="宋体" w:cs="宋体"/>
          <w:b/>
          <w:bCs/>
          <w:sz w:val="28"/>
          <w:szCs w:val="28"/>
        </w:rPr>
        <w:t>付款方式：如工程项目按图纸施工完毕并办理竣工手续，则按合同价*中标费率付款；如工程项目未实施，则按工程预算价*中标费率*90%付款。该项目款项每半年汇总支付一次。</w:t>
      </w:r>
    </w:p>
    <w:p>
      <w:pPr>
        <w:spacing w:line="500" w:lineRule="exact"/>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采购人将对成交供应商合同履行期限内的工作进行考核（详见“服务企业履约评价表”），成交供应商须无条件服从采购人的考核办法，同时采购人有权在合同履行期限内根据自身管理需要对考核办法进行修订。对修订后的考核办法，成交供应商须无条件接受。</w:t>
      </w:r>
    </w:p>
    <w:p>
      <w:pPr>
        <w:spacing w:line="500" w:lineRule="exact"/>
        <w:ind w:firstLine="562" w:firstLineChars="200"/>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4、服务企业履约评价表</w:t>
      </w:r>
    </w:p>
    <w:tbl>
      <w:tblPr>
        <w:tblStyle w:val="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4"/>
        <w:gridCol w:w="1315"/>
        <w:gridCol w:w="1931"/>
        <w:gridCol w:w="1751"/>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083" w:type="pct"/>
            <w:noWrap w:val="0"/>
            <w:vAlign w:val="center"/>
          </w:tcPr>
          <w:p>
            <w:pPr>
              <w:widowControl/>
              <w:spacing w:line="300" w:lineRule="exact"/>
              <w:jc w:val="center"/>
              <w:rPr>
                <w:rFonts w:hint="eastAsia"/>
                <w:color w:val="000000"/>
                <w:kern w:val="0"/>
                <w:sz w:val="24"/>
                <w:szCs w:val="18"/>
              </w:rPr>
            </w:pPr>
            <w:r>
              <w:rPr>
                <w:rFonts w:hint="eastAsia"/>
                <w:color w:val="000000"/>
                <w:kern w:val="0"/>
                <w:sz w:val="24"/>
                <w:szCs w:val="18"/>
              </w:rPr>
              <w:t>服务单位</w:t>
            </w:r>
          </w:p>
          <w:p>
            <w:pPr>
              <w:widowControl/>
              <w:spacing w:line="300" w:lineRule="exact"/>
              <w:jc w:val="center"/>
              <w:rPr>
                <w:color w:val="000000"/>
                <w:kern w:val="0"/>
                <w:sz w:val="24"/>
                <w:szCs w:val="18"/>
              </w:rPr>
            </w:pPr>
            <w:r>
              <w:rPr>
                <w:rFonts w:hint="eastAsia"/>
                <w:color w:val="000000"/>
                <w:kern w:val="0"/>
                <w:sz w:val="24"/>
                <w:szCs w:val="18"/>
              </w:rPr>
              <w:t>（</w:t>
            </w:r>
            <w:r>
              <w:rPr>
                <w:rFonts w:hint="eastAsia"/>
                <w:color w:val="000000"/>
                <w:kern w:val="0"/>
                <w:sz w:val="24"/>
                <w:szCs w:val="18"/>
                <w:lang w:eastAsia="zh-CN"/>
              </w:rPr>
              <w:t>成交供应商</w:t>
            </w:r>
            <w:r>
              <w:rPr>
                <w:rFonts w:hint="eastAsia"/>
                <w:color w:val="000000"/>
                <w:kern w:val="0"/>
                <w:sz w:val="24"/>
                <w:szCs w:val="18"/>
              </w:rPr>
              <w:t>）</w:t>
            </w:r>
          </w:p>
        </w:tc>
        <w:tc>
          <w:tcPr>
            <w:tcW w:w="3916" w:type="pct"/>
            <w:gridSpan w:val="4"/>
            <w:noWrap w:val="0"/>
            <w:vAlign w:val="center"/>
          </w:tcPr>
          <w:p>
            <w:pPr>
              <w:widowControl/>
              <w:spacing w:line="300" w:lineRule="exact"/>
              <w:jc w:val="center"/>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083" w:type="pct"/>
            <w:noWrap w:val="0"/>
            <w:vAlign w:val="center"/>
          </w:tcPr>
          <w:p>
            <w:pPr>
              <w:widowControl/>
              <w:spacing w:line="300" w:lineRule="exact"/>
              <w:jc w:val="center"/>
              <w:rPr>
                <w:color w:val="000000"/>
                <w:kern w:val="0"/>
                <w:sz w:val="24"/>
                <w:szCs w:val="18"/>
              </w:rPr>
            </w:pPr>
            <w:r>
              <w:rPr>
                <w:rFonts w:hint="eastAsia"/>
                <w:color w:val="000000"/>
                <w:kern w:val="0"/>
                <w:sz w:val="24"/>
                <w:szCs w:val="18"/>
              </w:rPr>
              <w:t>项目名称</w:t>
            </w:r>
          </w:p>
        </w:tc>
        <w:tc>
          <w:tcPr>
            <w:tcW w:w="3916" w:type="pct"/>
            <w:gridSpan w:val="4"/>
            <w:noWrap w:val="0"/>
            <w:vAlign w:val="center"/>
          </w:tcPr>
          <w:p>
            <w:pPr>
              <w:widowControl/>
              <w:spacing w:line="300" w:lineRule="exact"/>
              <w:jc w:val="center"/>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3" w:type="pct"/>
            <w:noWrap w:val="0"/>
            <w:vAlign w:val="center"/>
          </w:tcPr>
          <w:p>
            <w:pPr>
              <w:widowControl/>
              <w:spacing w:line="300" w:lineRule="exact"/>
              <w:jc w:val="center"/>
              <w:rPr>
                <w:color w:val="000000"/>
                <w:kern w:val="0"/>
                <w:sz w:val="24"/>
                <w:szCs w:val="18"/>
              </w:rPr>
            </w:pPr>
            <w:r>
              <w:rPr>
                <w:rFonts w:hint="eastAsia"/>
                <w:color w:val="000000"/>
                <w:kern w:val="0"/>
                <w:sz w:val="24"/>
                <w:szCs w:val="18"/>
              </w:rPr>
              <w:t>项目内容</w:t>
            </w:r>
          </w:p>
        </w:tc>
        <w:tc>
          <w:tcPr>
            <w:tcW w:w="3916" w:type="pct"/>
            <w:gridSpan w:val="4"/>
            <w:noWrap w:val="0"/>
            <w:vAlign w:val="center"/>
          </w:tcPr>
          <w:p>
            <w:pPr>
              <w:widowControl/>
              <w:spacing w:line="300" w:lineRule="exact"/>
              <w:jc w:val="center"/>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083" w:type="pct"/>
            <w:vMerge w:val="restart"/>
            <w:noWrap w:val="0"/>
            <w:vAlign w:val="center"/>
          </w:tcPr>
          <w:p>
            <w:pPr>
              <w:widowControl/>
              <w:spacing w:line="300" w:lineRule="exact"/>
              <w:jc w:val="center"/>
              <w:rPr>
                <w:color w:val="000000"/>
                <w:kern w:val="0"/>
                <w:sz w:val="24"/>
                <w:szCs w:val="18"/>
              </w:rPr>
            </w:pPr>
            <w:r>
              <w:rPr>
                <w:rFonts w:hint="eastAsia"/>
                <w:color w:val="000000"/>
                <w:kern w:val="0"/>
                <w:sz w:val="24"/>
                <w:szCs w:val="18"/>
              </w:rPr>
              <w:t>评价意见</w:t>
            </w:r>
          </w:p>
        </w:tc>
        <w:tc>
          <w:tcPr>
            <w:tcW w:w="772" w:type="pct"/>
            <w:noWrap w:val="0"/>
            <w:vAlign w:val="center"/>
          </w:tcPr>
          <w:p>
            <w:pPr>
              <w:widowControl/>
              <w:spacing w:line="300" w:lineRule="exact"/>
              <w:jc w:val="center"/>
              <w:rPr>
                <w:color w:val="000000"/>
                <w:kern w:val="0"/>
                <w:sz w:val="24"/>
                <w:szCs w:val="18"/>
              </w:rPr>
            </w:pPr>
            <w:r>
              <w:rPr>
                <w:rFonts w:hint="eastAsia"/>
                <w:color w:val="000000"/>
                <w:kern w:val="0"/>
                <w:sz w:val="24"/>
                <w:szCs w:val="18"/>
              </w:rPr>
              <w:t>评价内容</w:t>
            </w:r>
          </w:p>
        </w:tc>
        <w:tc>
          <w:tcPr>
            <w:tcW w:w="1134" w:type="pct"/>
            <w:noWrap w:val="0"/>
            <w:vAlign w:val="center"/>
          </w:tcPr>
          <w:p>
            <w:pPr>
              <w:widowControl/>
              <w:spacing w:line="300" w:lineRule="exact"/>
              <w:jc w:val="center"/>
              <w:rPr>
                <w:color w:val="000000"/>
                <w:kern w:val="0"/>
                <w:sz w:val="24"/>
                <w:szCs w:val="18"/>
              </w:rPr>
            </w:pPr>
            <w:r>
              <w:rPr>
                <w:rFonts w:hint="eastAsia"/>
                <w:color w:val="000000"/>
                <w:kern w:val="0"/>
                <w:sz w:val="24"/>
                <w:szCs w:val="18"/>
              </w:rPr>
              <w:t>评价分档意见</w:t>
            </w:r>
          </w:p>
        </w:tc>
        <w:tc>
          <w:tcPr>
            <w:tcW w:w="1028" w:type="pct"/>
            <w:noWrap w:val="0"/>
            <w:vAlign w:val="center"/>
          </w:tcPr>
          <w:p>
            <w:pPr>
              <w:widowControl/>
              <w:spacing w:line="300" w:lineRule="exact"/>
              <w:jc w:val="center"/>
              <w:rPr>
                <w:color w:val="000000"/>
                <w:kern w:val="0"/>
                <w:sz w:val="24"/>
                <w:szCs w:val="18"/>
              </w:rPr>
            </w:pPr>
            <w:r>
              <w:rPr>
                <w:rFonts w:hint="eastAsia"/>
                <w:color w:val="000000"/>
                <w:kern w:val="0"/>
                <w:sz w:val="24"/>
                <w:szCs w:val="18"/>
              </w:rPr>
              <w:t>得分</w:t>
            </w:r>
          </w:p>
        </w:tc>
        <w:tc>
          <w:tcPr>
            <w:tcW w:w="981" w:type="pct"/>
            <w:noWrap w:val="0"/>
            <w:vAlign w:val="center"/>
          </w:tcPr>
          <w:p>
            <w:pPr>
              <w:widowControl/>
              <w:spacing w:line="300" w:lineRule="exact"/>
              <w:jc w:val="center"/>
              <w:rPr>
                <w:color w:val="000000"/>
                <w:kern w:val="0"/>
                <w:sz w:val="24"/>
                <w:szCs w:val="18"/>
              </w:rPr>
            </w:pPr>
            <w:r>
              <w:rPr>
                <w:rFonts w:hint="eastAsia"/>
                <w:color w:val="000000"/>
                <w:kern w:val="0"/>
                <w:sz w:val="24"/>
                <w:szCs w:val="1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083" w:type="pct"/>
            <w:vMerge w:val="continue"/>
            <w:noWrap w:val="0"/>
            <w:vAlign w:val="center"/>
          </w:tcPr>
          <w:p>
            <w:pPr>
              <w:widowControl/>
              <w:spacing w:line="300" w:lineRule="exact"/>
              <w:jc w:val="left"/>
              <w:rPr>
                <w:rFonts w:ascii="宋体" w:hAnsi="宋体" w:cs="宋体"/>
                <w:color w:val="000000"/>
                <w:kern w:val="0"/>
                <w:sz w:val="18"/>
                <w:szCs w:val="18"/>
              </w:rPr>
            </w:pPr>
          </w:p>
        </w:tc>
        <w:tc>
          <w:tcPr>
            <w:tcW w:w="772" w:type="pct"/>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人员到位</w:t>
            </w:r>
          </w:p>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1134" w:type="pct"/>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1028" w:type="pct"/>
            <w:noWrap w:val="0"/>
            <w:vAlign w:val="center"/>
          </w:tcPr>
          <w:p>
            <w:pPr>
              <w:widowControl/>
              <w:spacing w:line="300" w:lineRule="exact"/>
              <w:jc w:val="left"/>
              <w:rPr>
                <w:color w:val="000000"/>
                <w:kern w:val="0"/>
                <w:sz w:val="18"/>
                <w:szCs w:val="18"/>
              </w:rPr>
            </w:pPr>
            <w:r>
              <w:rPr>
                <w:color w:val="000000"/>
                <w:kern w:val="0"/>
                <w:sz w:val="18"/>
                <w:szCs w:val="18"/>
              </w:rPr>
              <w:t>　</w:t>
            </w:r>
          </w:p>
        </w:tc>
        <w:tc>
          <w:tcPr>
            <w:tcW w:w="981" w:type="pct"/>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083" w:type="pct"/>
            <w:vMerge w:val="continue"/>
            <w:noWrap w:val="0"/>
            <w:vAlign w:val="center"/>
          </w:tcPr>
          <w:p>
            <w:pPr>
              <w:widowControl/>
              <w:spacing w:line="300" w:lineRule="exact"/>
              <w:jc w:val="left"/>
              <w:rPr>
                <w:rFonts w:ascii="宋体" w:hAnsi="宋体" w:cs="宋体"/>
                <w:color w:val="000000"/>
                <w:kern w:val="0"/>
                <w:sz w:val="18"/>
                <w:szCs w:val="18"/>
              </w:rPr>
            </w:pPr>
          </w:p>
        </w:tc>
        <w:tc>
          <w:tcPr>
            <w:tcW w:w="772" w:type="pct"/>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时效</w:t>
            </w:r>
            <w:r>
              <w:rPr>
                <w:rFonts w:hint="eastAsia" w:ascii="宋体" w:hAnsi="宋体" w:cs="宋体"/>
                <w:color w:val="000000"/>
                <w:kern w:val="0"/>
                <w:sz w:val="18"/>
                <w:szCs w:val="18"/>
              </w:rPr>
              <w:t>控制</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1134" w:type="pct"/>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1028" w:type="pct"/>
            <w:noWrap w:val="0"/>
            <w:vAlign w:val="center"/>
          </w:tcPr>
          <w:p>
            <w:pPr>
              <w:widowControl/>
              <w:spacing w:line="300" w:lineRule="exact"/>
              <w:jc w:val="left"/>
              <w:rPr>
                <w:color w:val="000000"/>
                <w:kern w:val="0"/>
                <w:sz w:val="18"/>
                <w:szCs w:val="18"/>
              </w:rPr>
            </w:pPr>
            <w:r>
              <w:rPr>
                <w:color w:val="000000"/>
                <w:kern w:val="0"/>
                <w:sz w:val="18"/>
                <w:szCs w:val="18"/>
              </w:rPr>
              <w:t>　</w:t>
            </w:r>
          </w:p>
        </w:tc>
        <w:tc>
          <w:tcPr>
            <w:tcW w:w="981" w:type="pct"/>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1083" w:type="pct"/>
            <w:vMerge w:val="continue"/>
            <w:noWrap w:val="0"/>
            <w:vAlign w:val="center"/>
          </w:tcPr>
          <w:p>
            <w:pPr>
              <w:widowControl/>
              <w:spacing w:line="300" w:lineRule="exact"/>
              <w:jc w:val="left"/>
              <w:rPr>
                <w:rFonts w:ascii="宋体" w:hAnsi="宋体" w:cs="宋体"/>
                <w:color w:val="000000"/>
                <w:kern w:val="0"/>
                <w:sz w:val="18"/>
                <w:szCs w:val="18"/>
              </w:rPr>
            </w:pPr>
          </w:p>
        </w:tc>
        <w:tc>
          <w:tcPr>
            <w:tcW w:w="772" w:type="pct"/>
            <w:noWrap w:val="0"/>
            <w:vAlign w:val="center"/>
          </w:tcPr>
          <w:p>
            <w:pPr>
              <w:widowControl/>
              <w:spacing w:line="300" w:lineRule="exact"/>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编制文件</w:t>
            </w:r>
          </w:p>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质量</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1134" w:type="pct"/>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1028" w:type="pct"/>
            <w:noWrap w:val="0"/>
            <w:vAlign w:val="center"/>
          </w:tcPr>
          <w:p>
            <w:pPr>
              <w:widowControl/>
              <w:spacing w:line="300" w:lineRule="exact"/>
              <w:jc w:val="left"/>
              <w:rPr>
                <w:color w:val="000000"/>
                <w:kern w:val="0"/>
                <w:sz w:val="18"/>
                <w:szCs w:val="18"/>
              </w:rPr>
            </w:pPr>
            <w:r>
              <w:rPr>
                <w:color w:val="000000"/>
                <w:kern w:val="0"/>
                <w:sz w:val="18"/>
                <w:szCs w:val="18"/>
              </w:rPr>
              <w:t>　</w:t>
            </w:r>
          </w:p>
        </w:tc>
        <w:tc>
          <w:tcPr>
            <w:tcW w:w="981" w:type="pct"/>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083" w:type="pct"/>
            <w:vMerge w:val="continue"/>
            <w:noWrap w:val="0"/>
            <w:vAlign w:val="center"/>
          </w:tcPr>
          <w:p>
            <w:pPr>
              <w:widowControl/>
              <w:spacing w:line="300" w:lineRule="exact"/>
              <w:jc w:val="left"/>
              <w:rPr>
                <w:rFonts w:ascii="宋体" w:hAnsi="宋体" w:cs="宋体"/>
                <w:color w:val="000000"/>
                <w:kern w:val="0"/>
                <w:sz w:val="18"/>
                <w:szCs w:val="18"/>
              </w:rPr>
            </w:pPr>
          </w:p>
        </w:tc>
        <w:tc>
          <w:tcPr>
            <w:tcW w:w="772" w:type="pct"/>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配合与服务</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1134" w:type="pct"/>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1028" w:type="pct"/>
            <w:noWrap w:val="0"/>
            <w:vAlign w:val="center"/>
          </w:tcPr>
          <w:p>
            <w:pPr>
              <w:widowControl/>
              <w:spacing w:line="300" w:lineRule="exact"/>
              <w:jc w:val="left"/>
              <w:rPr>
                <w:color w:val="000000"/>
                <w:kern w:val="0"/>
                <w:sz w:val="18"/>
                <w:szCs w:val="18"/>
              </w:rPr>
            </w:pPr>
            <w:r>
              <w:rPr>
                <w:color w:val="000000"/>
                <w:kern w:val="0"/>
                <w:sz w:val="18"/>
                <w:szCs w:val="18"/>
              </w:rPr>
              <w:t>　</w:t>
            </w:r>
          </w:p>
        </w:tc>
        <w:tc>
          <w:tcPr>
            <w:tcW w:w="981" w:type="pct"/>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083" w:type="pct"/>
            <w:vMerge w:val="continue"/>
            <w:noWrap w:val="0"/>
            <w:vAlign w:val="center"/>
          </w:tcPr>
          <w:p>
            <w:pPr>
              <w:widowControl/>
              <w:spacing w:line="300" w:lineRule="exact"/>
              <w:jc w:val="left"/>
              <w:rPr>
                <w:rFonts w:ascii="宋体" w:hAnsi="宋体" w:cs="宋体"/>
                <w:color w:val="000000"/>
                <w:kern w:val="0"/>
                <w:sz w:val="18"/>
                <w:szCs w:val="18"/>
              </w:rPr>
            </w:pPr>
          </w:p>
        </w:tc>
        <w:tc>
          <w:tcPr>
            <w:tcW w:w="772" w:type="pct"/>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整体评价</w:t>
            </w:r>
          </w:p>
          <w:p>
            <w:pPr>
              <w:spacing w:line="300" w:lineRule="exact"/>
              <w:jc w:val="center"/>
              <w:rPr>
                <w:rFonts w:ascii="宋体" w:hAnsi="宋体" w:cs="宋体"/>
                <w:color w:val="000000"/>
                <w:kern w:val="0"/>
                <w:sz w:val="18"/>
                <w:szCs w:val="18"/>
              </w:rPr>
            </w:pPr>
            <w:r>
              <w:rPr>
                <w:rFonts w:hint="eastAsia" w:ascii="宋体" w:hAnsi="宋体" w:cs="宋体"/>
                <w:color w:val="000000"/>
                <w:kern w:val="0"/>
                <w:sz w:val="18"/>
                <w:szCs w:val="18"/>
              </w:rPr>
              <w:t>（</w:t>
            </w:r>
            <w:r>
              <w:rPr>
                <w:rFonts w:hint="eastAsia"/>
                <w:color w:val="000000"/>
                <w:kern w:val="0"/>
                <w:sz w:val="18"/>
                <w:szCs w:val="18"/>
              </w:rPr>
              <w:t>20</w:t>
            </w:r>
            <w:r>
              <w:rPr>
                <w:rFonts w:hint="eastAsia" w:ascii="宋体" w:hAnsi="宋体" w:cs="宋体"/>
                <w:color w:val="000000"/>
                <w:kern w:val="0"/>
                <w:sz w:val="18"/>
                <w:szCs w:val="18"/>
              </w:rPr>
              <w:t>分）</w:t>
            </w:r>
          </w:p>
        </w:tc>
        <w:tc>
          <w:tcPr>
            <w:tcW w:w="1134" w:type="pct"/>
            <w:noWrap w:val="0"/>
            <w:vAlign w:val="center"/>
          </w:tcPr>
          <w:p>
            <w:pPr>
              <w:widowControl/>
              <w:spacing w:line="300" w:lineRule="exact"/>
              <w:jc w:val="left"/>
              <w:rPr>
                <w:rFonts w:hint="eastAsia"/>
                <w:color w:val="000000"/>
                <w:kern w:val="0"/>
                <w:sz w:val="18"/>
                <w:szCs w:val="18"/>
              </w:rPr>
            </w:pPr>
            <w:r>
              <w:rPr>
                <w:rFonts w:hint="eastAsia" w:ascii="宋体" w:hAnsi="宋体" w:cs="宋体"/>
                <w:color w:val="000000"/>
                <w:kern w:val="0"/>
                <w:sz w:val="18"/>
                <w:szCs w:val="18"/>
              </w:rPr>
              <w:t>□好（</w:t>
            </w:r>
            <w:r>
              <w:rPr>
                <w:color w:val="000000"/>
                <w:kern w:val="0"/>
                <w:sz w:val="18"/>
                <w:szCs w:val="18"/>
              </w:rPr>
              <w:t>&gt;8</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□较好（</w:t>
            </w:r>
            <w:r>
              <w:rPr>
                <w:color w:val="000000"/>
                <w:kern w:val="0"/>
                <w:sz w:val="18"/>
                <w:szCs w:val="18"/>
              </w:rPr>
              <w:t>&gt;6</w:t>
            </w:r>
            <w:r>
              <w:rPr>
                <w:rFonts w:hint="eastAsia" w:ascii="宋体" w:hAnsi="宋体" w:cs="宋体"/>
                <w:color w:val="000000"/>
                <w:kern w:val="0"/>
                <w:sz w:val="18"/>
                <w:szCs w:val="18"/>
              </w:rPr>
              <w:t>分）</w:t>
            </w:r>
          </w:p>
          <w:p>
            <w:pPr>
              <w:widowControl/>
              <w:spacing w:line="300" w:lineRule="exact"/>
              <w:jc w:val="left"/>
              <w:rPr>
                <w:rFonts w:hint="eastAsia" w:ascii="宋体" w:hAnsi="宋体" w:cs="宋体"/>
                <w:color w:val="000000"/>
                <w:kern w:val="0"/>
                <w:sz w:val="18"/>
                <w:szCs w:val="18"/>
              </w:rPr>
            </w:pPr>
            <w:r>
              <w:rPr>
                <w:rFonts w:hint="eastAsia" w:ascii="宋体" w:hAnsi="宋体" w:cs="宋体"/>
                <w:color w:val="000000"/>
                <w:kern w:val="0"/>
                <w:sz w:val="18"/>
                <w:szCs w:val="18"/>
              </w:rPr>
              <w:t>□一般（</w:t>
            </w:r>
            <w:r>
              <w:rPr>
                <w:color w:val="000000"/>
                <w:kern w:val="0"/>
                <w:sz w:val="18"/>
                <w:szCs w:val="18"/>
              </w:rPr>
              <w:t>&gt;4</w:t>
            </w:r>
            <w:r>
              <w:rPr>
                <w:rFonts w:hint="eastAsia" w:ascii="宋体" w:hAnsi="宋体" w:cs="宋体"/>
                <w:color w:val="000000"/>
                <w:kern w:val="0"/>
                <w:sz w:val="18"/>
                <w:szCs w:val="18"/>
              </w:rPr>
              <w:t>分）</w:t>
            </w:r>
          </w:p>
          <w:p>
            <w:pPr>
              <w:widowControl/>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□较差（</w:t>
            </w:r>
            <w:r>
              <w:rPr>
                <w:color w:val="000000"/>
                <w:kern w:val="0"/>
                <w:sz w:val="18"/>
                <w:szCs w:val="18"/>
              </w:rPr>
              <w:t>&gt;2</w:t>
            </w:r>
            <w:r>
              <w:rPr>
                <w:rFonts w:hint="eastAsia" w:ascii="宋体" w:hAnsi="宋体" w:cs="宋体"/>
                <w:color w:val="000000"/>
                <w:kern w:val="0"/>
                <w:sz w:val="18"/>
                <w:szCs w:val="18"/>
              </w:rPr>
              <w:t>分）</w:t>
            </w:r>
          </w:p>
          <w:p>
            <w:pPr>
              <w:spacing w:line="300" w:lineRule="exact"/>
              <w:jc w:val="left"/>
              <w:rPr>
                <w:rFonts w:ascii="宋体" w:hAnsi="宋体" w:cs="宋体"/>
                <w:color w:val="000000"/>
                <w:kern w:val="0"/>
                <w:sz w:val="18"/>
                <w:szCs w:val="18"/>
              </w:rPr>
            </w:pPr>
            <w:r>
              <w:rPr>
                <w:rFonts w:hint="eastAsia" w:ascii="宋体" w:hAnsi="宋体" w:cs="宋体"/>
                <w:color w:val="000000"/>
                <w:kern w:val="0"/>
                <w:sz w:val="18"/>
                <w:szCs w:val="18"/>
              </w:rPr>
              <w:t>□差（</w:t>
            </w:r>
            <w:r>
              <w:rPr>
                <w:color w:val="000000"/>
                <w:kern w:val="0"/>
                <w:sz w:val="18"/>
                <w:szCs w:val="18"/>
              </w:rPr>
              <w:t>&gt;0</w:t>
            </w:r>
            <w:r>
              <w:rPr>
                <w:rFonts w:hint="eastAsia" w:ascii="宋体" w:hAnsi="宋体" w:cs="宋体"/>
                <w:color w:val="000000"/>
                <w:kern w:val="0"/>
                <w:sz w:val="18"/>
                <w:szCs w:val="18"/>
              </w:rPr>
              <w:t>分）</w:t>
            </w:r>
          </w:p>
        </w:tc>
        <w:tc>
          <w:tcPr>
            <w:tcW w:w="1028" w:type="pct"/>
            <w:noWrap w:val="0"/>
            <w:vAlign w:val="center"/>
          </w:tcPr>
          <w:p>
            <w:pPr>
              <w:widowControl/>
              <w:spacing w:line="300" w:lineRule="exact"/>
              <w:jc w:val="left"/>
              <w:rPr>
                <w:color w:val="000000"/>
                <w:kern w:val="0"/>
                <w:sz w:val="18"/>
                <w:szCs w:val="18"/>
              </w:rPr>
            </w:pPr>
            <w:r>
              <w:rPr>
                <w:color w:val="000000"/>
                <w:kern w:val="0"/>
                <w:sz w:val="18"/>
                <w:szCs w:val="18"/>
              </w:rPr>
              <w:t>　</w:t>
            </w:r>
          </w:p>
        </w:tc>
        <w:tc>
          <w:tcPr>
            <w:tcW w:w="981" w:type="pct"/>
            <w:noWrap w:val="0"/>
            <w:vAlign w:val="center"/>
          </w:tcPr>
          <w:p>
            <w:pPr>
              <w:widowControl/>
              <w:spacing w:line="300" w:lineRule="exact"/>
              <w:jc w:val="left"/>
              <w:rPr>
                <w:color w:val="000000"/>
                <w:kern w:val="0"/>
                <w:sz w:val="18"/>
                <w:szCs w:val="18"/>
              </w:rPr>
            </w:pPr>
            <w:r>
              <w:rPr>
                <w:color w:val="000000"/>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083" w:type="pct"/>
            <w:vMerge w:val="continue"/>
            <w:noWrap w:val="0"/>
            <w:vAlign w:val="center"/>
          </w:tcPr>
          <w:p>
            <w:pPr>
              <w:widowControl/>
              <w:spacing w:line="300" w:lineRule="exact"/>
              <w:jc w:val="left"/>
              <w:rPr>
                <w:rFonts w:ascii="宋体" w:hAnsi="宋体" w:cs="宋体"/>
                <w:color w:val="000000"/>
                <w:kern w:val="0"/>
                <w:sz w:val="18"/>
                <w:szCs w:val="18"/>
              </w:rPr>
            </w:pPr>
          </w:p>
        </w:tc>
        <w:tc>
          <w:tcPr>
            <w:tcW w:w="1906" w:type="pct"/>
            <w:gridSpan w:val="2"/>
            <w:noWrap w:val="0"/>
            <w:vAlign w:val="center"/>
          </w:tcPr>
          <w:p>
            <w:pPr>
              <w:widowControl/>
              <w:spacing w:line="300" w:lineRule="exact"/>
              <w:jc w:val="center"/>
              <w:rPr>
                <w:rFonts w:ascii="宋体" w:hAnsi="宋体" w:cs="宋体"/>
                <w:color w:val="000000"/>
                <w:kern w:val="0"/>
                <w:sz w:val="18"/>
                <w:szCs w:val="18"/>
              </w:rPr>
            </w:pPr>
            <w:r>
              <w:rPr>
                <w:rFonts w:hint="eastAsia" w:ascii="宋体" w:hAnsi="宋体" w:cs="宋体"/>
                <w:color w:val="000000"/>
                <w:kern w:val="0"/>
                <w:sz w:val="22"/>
                <w:szCs w:val="18"/>
              </w:rPr>
              <w:t>评价总得分</w:t>
            </w:r>
          </w:p>
        </w:tc>
        <w:tc>
          <w:tcPr>
            <w:tcW w:w="2009" w:type="pct"/>
            <w:gridSpan w:val="2"/>
            <w:noWrap w:val="0"/>
            <w:vAlign w:val="center"/>
          </w:tcPr>
          <w:p>
            <w:pPr>
              <w:widowControl/>
              <w:spacing w:line="300" w:lineRule="exact"/>
              <w:jc w:val="center"/>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5000" w:type="pct"/>
            <w:gridSpan w:val="5"/>
            <w:noWrap w:val="0"/>
            <w:vAlign w:val="center"/>
          </w:tcPr>
          <w:p>
            <w:pPr>
              <w:widowControl/>
              <w:spacing w:line="300" w:lineRule="exact"/>
              <w:jc w:val="left"/>
              <w:rPr>
                <w:color w:val="000000"/>
                <w:kern w:val="0"/>
                <w:sz w:val="18"/>
                <w:szCs w:val="18"/>
              </w:rPr>
            </w:pPr>
            <w:r>
              <w:rPr>
                <w:color w:val="000000"/>
                <w:kern w:val="0"/>
                <w:sz w:val="24"/>
                <w:szCs w:val="18"/>
              </w:rPr>
              <w:t>评分人（签字）：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5000" w:type="pct"/>
            <w:gridSpan w:val="5"/>
            <w:noWrap w:val="0"/>
            <w:vAlign w:val="center"/>
          </w:tcPr>
          <w:p>
            <w:pPr>
              <w:pStyle w:val="4"/>
              <w:spacing w:line="300" w:lineRule="exact"/>
              <w:rPr>
                <w:rFonts w:hint="eastAsia" w:ascii="宋体" w:hAnsi="宋体" w:eastAsia="宋体" w:cs="Times New Roman"/>
                <w:b/>
                <w:kern w:val="2"/>
                <w:sz w:val="21"/>
                <w:szCs w:val="21"/>
                <w:lang w:val="en-US" w:eastAsia="zh-CN" w:bidi="ar-SA"/>
              </w:rPr>
            </w:pPr>
            <w:r>
              <w:rPr>
                <w:rFonts w:hint="eastAsia" w:ascii="宋体" w:hAnsi="宋体" w:eastAsia="宋体" w:cs="Times New Roman"/>
                <w:b/>
                <w:kern w:val="2"/>
                <w:sz w:val="21"/>
                <w:szCs w:val="21"/>
                <w:lang w:val="en-US" w:eastAsia="zh-CN" w:bidi="ar-SA"/>
              </w:rPr>
              <w:t>备注：成交供应商实行业绩评价机制。采购人每半年对成交供应商评价一次。</w:t>
            </w:r>
          </w:p>
          <w:p>
            <w:pPr>
              <w:autoSpaceDE w:val="0"/>
              <w:autoSpaceDN w:val="0"/>
              <w:spacing w:line="300" w:lineRule="exact"/>
              <w:jc w:val="left"/>
              <w:rPr>
                <w:rFonts w:hint="eastAsia" w:ascii="宋体" w:hAnsi="宋体"/>
                <w:b/>
                <w:szCs w:val="21"/>
              </w:rPr>
            </w:pPr>
            <w:r>
              <w:rPr>
                <w:rFonts w:hint="eastAsia" w:ascii="宋体" w:hAnsi="宋体"/>
                <w:b/>
                <w:szCs w:val="21"/>
              </w:rPr>
              <w:t>说明：</w:t>
            </w:r>
          </w:p>
          <w:p>
            <w:pPr>
              <w:autoSpaceDE w:val="0"/>
              <w:autoSpaceDN w:val="0"/>
              <w:spacing w:line="300" w:lineRule="exact"/>
              <w:jc w:val="left"/>
              <w:rPr>
                <w:rFonts w:hint="eastAsia" w:ascii="宋体" w:hAnsi="宋体"/>
                <w:b/>
                <w:szCs w:val="21"/>
              </w:rPr>
            </w:pPr>
            <w:r>
              <w:rPr>
                <w:rFonts w:hint="eastAsia" w:ascii="宋体" w:hAnsi="宋体"/>
                <w:b/>
                <w:szCs w:val="21"/>
              </w:rPr>
              <w:t>（1）</w:t>
            </w:r>
            <w:r>
              <w:rPr>
                <w:rFonts w:hint="eastAsia" w:ascii="宋体" w:hAnsi="宋体"/>
                <w:b/>
                <w:szCs w:val="21"/>
                <w:lang w:eastAsia="zh-CN"/>
              </w:rPr>
              <w:t>成交供应商</w:t>
            </w:r>
            <w:r>
              <w:rPr>
                <w:rFonts w:hint="eastAsia" w:ascii="宋体" w:hAnsi="宋体"/>
                <w:b/>
                <w:szCs w:val="21"/>
              </w:rPr>
              <w:t>评价总分在90分（含）-100分（含）的，视为合格。</w:t>
            </w:r>
          </w:p>
          <w:p>
            <w:pPr>
              <w:autoSpaceDE w:val="0"/>
              <w:autoSpaceDN w:val="0"/>
              <w:spacing w:line="300" w:lineRule="exact"/>
              <w:jc w:val="left"/>
              <w:rPr>
                <w:rFonts w:hint="eastAsia" w:ascii="宋体" w:hAnsi="宋体"/>
                <w:b/>
                <w:szCs w:val="21"/>
              </w:rPr>
            </w:pPr>
            <w:r>
              <w:rPr>
                <w:rFonts w:hint="eastAsia" w:ascii="宋体" w:hAnsi="宋体"/>
                <w:b/>
                <w:szCs w:val="21"/>
              </w:rPr>
              <w:t>（2）</w:t>
            </w:r>
            <w:r>
              <w:rPr>
                <w:rFonts w:hint="eastAsia" w:ascii="宋体" w:hAnsi="宋体"/>
                <w:b/>
                <w:szCs w:val="21"/>
                <w:lang w:eastAsia="zh-CN"/>
              </w:rPr>
              <w:t>成交供应商</w:t>
            </w:r>
            <w:r>
              <w:rPr>
                <w:rFonts w:hint="eastAsia" w:ascii="宋体" w:hAnsi="宋体"/>
                <w:b/>
                <w:szCs w:val="21"/>
              </w:rPr>
              <w:t>评价总分在80分（含）-90分（不含）的，扣减</w:t>
            </w:r>
            <w:r>
              <w:rPr>
                <w:rFonts w:hint="eastAsia" w:ascii="宋体" w:hAnsi="宋体"/>
                <w:b/>
                <w:szCs w:val="21"/>
                <w:lang w:val="en-US" w:eastAsia="zh-CN"/>
              </w:rPr>
              <w:t>本考核期内10%服务费</w:t>
            </w:r>
            <w:r>
              <w:rPr>
                <w:rFonts w:hint="eastAsia" w:ascii="宋体" w:hAnsi="宋体"/>
                <w:b/>
                <w:szCs w:val="21"/>
              </w:rPr>
              <w:t>，暂停其提供服务时间3个月。</w:t>
            </w:r>
          </w:p>
          <w:p>
            <w:pPr>
              <w:autoSpaceDE w:val="0"/>
              <w:autoSpaceDN w:val="0"/>
              <w:spacing w:line="300" w:lineRule="exact"/>
              <w:jc w:val="left"/>
              <w:rPr>
                <w:rFonts w:hint="eastAsia" w:ascii="宋体" w:hAnsi="宋体"/>
                <w:b/>
                <w:szCs w:val="21"/>
              </w:rPr>
            </w:pPr>
            <w:r>
              <w:rPr>
                <w:rFonts w:hint="eastAsia" w:ascii="宋体" w:hAnsi="宋体"/>
                <w:b/>
                <w:szCs w:val="21"/>
              </w:rPr>
              <w:t>（3）</w:t>
            </w:r>
            <w:r>
              <w:rPr>
                <w:rFonts w:hint="eastAsia" w:ascii="宋体" w:hAnsi="宋体"/>
                <w:b/>
                <w:szCs w:val="21"/>
                <w:lang w:eastAsia="zh-CN"/>
              </w:rPr>
              <w:t>成交供应商</w:t>
            </w:r>
            <w:r>
              <w:rPr>
                <w:rFonts w:hint="eastAsia" w:ascii="宋体" w:hAnsi="宋体"/>
                <w:b/>
                <w:szCs w:val="21"/>
              </w:rPr>
              <w:t>评价总分在80分（不含）以下的：</w:t>
            </w:r>
            <w:r>
              <w:rPr>
                <w:rFonts w:hint="eastAsia" w:ascii="宋体" w:hAnsi="宋体"/>
                <w:b/>
                <w:szCs w:val="21"/>
                <w:lang w:val="en-US" w:eastAsia="zh-CN"/>
              </w:rPr>
              <w:t>一次扣除本考核期内20%，服务期内累计两次则</w:t>
            </w:r>
            <w:r>
              <w:rPr>
                <w:rFonts w:hint="eastAsia" w:ascii="宋体" w:hAnsi="宋体"/>
                <w:b/>
                <w:szCs w:val="21"/>
              </w:rPr>
              <w:t>取消其服务资格并解除合同，且两年内不得承接</w:t>
            </w:r>
            <w:r>
              <w:rPr>
                <w:rFonts w:hint="eastAsia" w:ascii="宋体" w:hAnsi="宋体"/>
                <w:b/>
                <w:szCs w:val="21"/>
                <w:lang w:val="en-US" w:eastAsia="zh-CN"/>
              </w:rPr>
              <w:t>马鞍山市人民医院</w:t>
            </w:r>
            <w:r>
              <w:rPr>
                <w:rFonts w:hint="eastAsia" w:ascii="宋体" w:hAnsi="宋体"/>
                <w:b/>
                <w:szCs w:val="21"/>
              </w:rPr>
              <w:t>的工程</w:t>
            </w:r>
            <w:r>
              <w:rPr>
                <w:rFonts w:hint="eastAsia" w:ascii="宋体" w:hAnsi="宋体"/>
                <w:b/>
                <w:szCs w:val="21"/>
                <w:lang w:eastAsia="zh-CN"/>
              </w:rPr>
              <w:t>零星工程</w:t>
            </w:r>
            <w:r>
              <w:rPr>
                <w:rFonts w:hint="eastAsia" w:ascii="宋体" w:hAnsi="宋体"/>
                <w:b/>
                <w:szCs w:val="21"/>
              </w:rPr>
              <w:t>服务业务。</w:t>
            </w:r>
          </w:p>
          <w:p>
            <w:pPr>
              <w:autoSpaceDE w:val="0"/>
              <w:autoSpaceDN w:val="0"/>
              <w:spacing w:line="300" w:lineRule="exact"/>
              <w:jc w:val="left"/>
              <w:rPr>
                <w:kern w:val="0"/>
                <w:sz w:val="20"/>
                <w:szCs w:val="20"/>
              </w:rPr>
            </w:pPr>
            <w:r>
              <w:rPr>
                <w:rFonts w:hint="eastAsia" w:ascii="宋体" w:hAnsi="宋体"/>
                <w:b/>
                <w:szCs w:val="21"/>
              </w:rPr>
              <w:t>（4）上述内容若与合同约定不一致，则</w:t>
            </w:r>
            <w:r>
              <w:rPr>
                <w:rFonts w:hint="eastAsia" w:ascii="宋体" w:hAnsi="宋体"/>
                <w:b/>
                <w:szCs w:val="21"/>
                <w:lang w:eastAsia="zh-CN"/>
              </w:rPr>
              <w:t>采购人</w:t>
            </w:r>
            <w:r>
              <w:rPr>
                <w:rFonts w:hint="eastAsia" w:ascii="宋体" w:hAnsi="宋体"/>
                <w:b/>
                <w:szCs w:val="21"/>
              </w:rPr>
              <w:t>有权选择</w:t>
            </w:r>
            <w:r>
              <w:rPr>
                <w:rFonts w:hint="eastAsia" w:ascii="宋体" w:hAnsi="宋体"/>
                <w:b/>
                <w:szCs w:val="21"/>
                <w:lang w:eastAsia="zh-CN"/>
              </w:rPr>
              <w:t>成交供应商</w:t>
            </w:r>
            <w:r>
              <w:rPr>
                <w:rFonts w:hint="eastAsia" w:ascii="宋体" w:hAnsi="宋体"/>
                <w:b/>
                <w:szCs w:val="21"/>
              </w:rPr>
              <w:t>较重的违约责任执行。</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0C78D3"/>
    <w:multiLevelType w:val="singleLevel"/>
    <w:tmpl w:val="780C78D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194B0B6F"/>
    <w:rsid w:val="194B0B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
    <w:qFormat/>
    <w:uiPriority w:val="0"/>
    <w:pPr>
      <w:keepNext/>
      <w:keepLines/>
      <w:spacing w:before="340" w:beforeLines="0" w:after="330" w:afterLines="0" w:line="578" w:lineRule="auto"/>
      <w:outlineLvl w:val="0"/>
    </w:pPr>
    <w:rPr>
      <w:b/>
      <w:bCs/>
      <w:kern w:val="44"/>
      <w:sz w:val="44"/>
      <w:szCs w:val="44"/>
    </w:rPr>
  </w:style>
  <w:style w:type="paragraph" w:styleId="2">
    <w:name w:val="heading 3"/>
    <w:basedOn w:val="1"/>
    <w:next w:val="1"/>
    <w:unhideWhenUsed/>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0"/>
    <w:pPr>
      <w:jc w:val="left"/>
    </w:pPr>
    <w:rPr>
      <w:rFonts w:ascii="Arial" w:hAnsi="Arial" w:eastAsia="黑体"/>
      <w:b/>
      <w:kern w:val="0"/>
      <w:sz w:val="32"/>
      <w:szCs w:val="20"/>
    </w:rPr>
  </w:style>
  <w:style w:type="character" w:customStyle="1" w:styleId="7">
    <w:name w:val="标题 1 Char"/>
    <w:basedOn w:val="6"/>
    <w:link w:val="3"/>
    <w:qFormat/>
    <w:locked/>
    <w:uiPriority w:val="0"/>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2024-07-08T03:14:00Z</dcterms:created>
  <dc:creator>高杨</dc:creator>
  <cp:lastModifiedBy>高杨</cp:lastModifiedBy>
  <dcterms:modified xsi:type="dcterms:W3CDTF">2024-07-08T03:15:00Z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7B23CB5F74EE47449C673593C2DEF8CC_11</vt:lpwstr>
  </property>
</Properties>
</file>