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Style w:val="7"/>
          <w:rFonts w:hint="eastAsia" w:ascii="Times New Roman" w:hAnsi="Times New Roman" w:eastAsia="宋体" w:cs="Times New Roman"/>
          <w:b/>
          <w:bCs/>
          <w:sz w:val="30"/>
          <w:szCs w:val="30"/>
          <w:lang w:val="en-US" w:eastAsia="zh-CN" w:bidi="ar-SA"/>
        </w:rPr>
      </w:pPr>
      <w:r>
        <w:rPr>
          <w:rStyle w:val="7"/>
          <w:rFonts w:hint="eastAsia" w:ascii="Times New Roman" w:hAnsi="Times New Roman" w:eastAsia="宋体" w:cs="Times New Roman"/>
          <w:b/>
          <w:bCs/>
          <w:sz w:val="30"/>
          <w:szCs w:val="30"/>
          <w:lang w:val="en-US" w:eastAsia="zh-CN" w:bidi="ar-SA"/>
        </w:rPr>
        <w:t>采购内容及相关要求</w:t>
      </w:r>
    </w:p>
    <w:p>
      <w:pPr>
        <w:spacing w:line="500" w:lineRule="exact"/>
        <w:jc w:val="left"/>
        <w:rPr>
          <w:rFonts w:hint="eastAsia" w:ascii="宋体" w:hAnsi="宋体" w:cs="宋体"/>
          <w:color w:val="FF0000"/>
          <w:sz w:val="28"/>
          <w:szCs w:val="28"/>
          <w:highlight w:val="yellow"/>
        </w:rPr>
      </w:pPr>
      <w:r>
        <w:rPr>
          <w:rFonts w:hint="eastAsia" w:ascii="宋体" w:hAnsi="宋体" w:cs="宋体"/>
          <w:color w:val="FF0000"/>
          <w:sz w:val="28"/>
          <w:szCs w:val="28"/>
          <w:highlight w:val="yellow"/>
        </w:rPr>
        <w:t>（本项目采购内容及总体要求为不允许负偏离的实质性要求和条件）</w:t>
      </w:r>
    </w:p>
    <w:p>
      <w:pPr>
        <w:rPr>
          <w:rFonts w:hint="eastAsia"/>
        </w:rPr>
      </w:pPr>
    </w:p>
    <w:p>
      <w:pPr>
        <w:widowControl/>
        <w:spacing w:line="500" w:lineRule="exact"/>
        <w:jc w:val="center"/>
        <w:rPr>
          <w:rFonts w:hint="eastAsia" w:ascii="宋体" w:hAnsi="宋体" w:eastAsia="宋体" w:cs="Times New Roman"/>
          <w:b/>
          <w:sz w:val="36"/>
          <w:szCs w:val="36"/>
        </w:rPr>
      </w:pPr>
      <w:r>
        <w:rPr>
          <w:rFonts w:hint="eastAsia" w:ascii="宋体" w:hAnsi="宋体" w:eastAsia="宋体" w:cs="Times New Roman"/>
          <w:b/>
          <w:sz w:val="36"/>
          <w:szCs w:val="36"/>
        </w:rPr>
        <w:t>一、采购清单</w:t>
      </w:r>
    </w:p>
    <w:tbl>
      <w:tblPr>
        <w:tblStyle w:val="5"/>
        <w:tblW w:w="0" w:type="auto"/>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798" w:type="dxa"/>
            <w:noWrap w:val="0"/>
            <w:vAlign w:val="center"/>
          </w:tcPr>
          <w:p>
            <w:pPr>
              <w:widowControl/>
              <w:jc w:val="center"/>
              <w:textAlignment w:val="center"/>
              <w:rPr>
                <w:rFonts w:hint="eastAsia" w:ascii="宋体" w:hAnsi="宋体" w:cs="宋体"/>
                <w:b/>
                <w:bCs/>
                <w:color w:val="000000"/>
                <w:kern w:val="0"/>
                <w:sz w:val="28"/>
                <w:szCs w:val="28"/>
                <w:lang w:bidi="ar"/>
              </w:rPr>
            </w:pPr>
            <w:r>
              <w:rPr>
                <w:rFonts w:hint="eastAsia" w:ascii="仿宋_GB2312" w:hAnsi="仿宋_GB2312" w:eastAsia="仿宋_GB2312" w:cs="仿宋_GB2312"/>
                <w:b/>
                <w:bCs/>
                <w:kern w:val="2"/>
                <w:sz w:val="32"/>
                <w:szCs w:val="32"/>
                <w:highlight w:val="none"/>
                <w:lang w:val="en-US" w:eastAsia="zh-CN" w:bidi="ar-SA"/>
              </w:rPr>
              <w:t>服务名称（标的名称）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8798" w:type="dxa"/>
            <w:noWrap w:val="0"/>
            <w:vAlign w:val="center"/>
          </w:tcPr>
          <w:p>
            <w:pPr>
              <w:spacing w:line="480" w:lineRule="exact"/>
              <w:jc w:val="center"/>
              <w:rPr>
                <w:rFonts w:hint="eastAsia" w:ascii="宋体" w:hAnsi="宋体" w:eastAsia="宋体" w:cs="宋体"/>
                <w:sz w:val="28"/>
                <w:szCs w:val="28"/>
                <w:lang w:eastAsia="zh-CN"/>
              </w:rPr>
            </w:pPr>
            <w:bookmarkStart w:id="0" w:name="_GoBack"/>
            <w:r>
              <w:rPr>
                <w:rFonts w:hint="eastAsia" w:ascii="仿宋_GB2312" w:hAnsi="仿宋_GB2312" w:eastAsia="仿宋_GB2312" w:cs="仿宋_GB2312"/>
                <w:kern w:val="2"/>
                <w:sz w:val="32"/>
                <w:szCs w:val="32"/>
                <w:highlight w:val="none"/>
                <w:lang w:val="en-US" w:eastAsia="zh-CN" w:bidi="ar-SA"/>
              </w:rPr>
              <w:t>马鞍山市人民医院东院手术室区域净化系统维保采购</w:t>
            </w:r>
            <w:bookmarkEnd w:id="0"/>
          </w:p>
        </w:tc>
      </w:tr>
    </w:tbl>
    <w:p>
      <w:pPr>
        <w:widowControl/>
        <w:spacing w:line="500" w:lineRule="exact"/>
        <w:jc w:val="center"/>
        <w:rPr>
          <w:rFonts w:hint="eastAsia" w:ascii="宋体" w:hAnsi="宋体"/>
          <w:b/>
          <w:sz w:val="28"/>
          <w:szCs w:val="28"/>
        </w:rPr>
      </w:pPr>
    </w:p>
    <w:p>
      <w:pPr>
        <w:widowControl/>
        <w:spacing w:line="500" w:lineRule="exact"/>
        <w:jc w:val="center"/>
        <w:rPr>
          <w:rFonts w:ascii="宋体" w:hAnsi="宋体"/>
          <w:b/>
          <w:sz w:val="36"/>
          <w:szCs w:val="36"/>
        </w:rPr>
      </w:pPr>
      <w:r>
        <w:rPr>
          <w:rFonts w:hint="eastAsia" w:ascii="宋体" w:hAnsi="宋体"/>
          <w:b/>
          <w:sz w:val="36"/>
          <w:szCs w:val="36"/>
        </w:rPr>
        <w:t>二、服务内容</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项目相关要求：</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人员安排</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right="0" w:rightChars="0" w:firstLine="640" w:firstLineChars="200"/>
        <w:jc w:val="lef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highlight w:val="none"/>
          <w:lang w:val="en-US" w:eastAsia="zh-CN" w:bidi="ar-SA"/>
        </w:rPr>
        <w:t>1.上班职责：正常工作日，医院早晨上班时间提前半小时到场开启设备并开始巡检，区域包括2号住院楼2层</w:t>
      </w:r>
      <w:r>
        <w:rPr>
          <w:rFonts w:hint="eastAsia" w:ascii="仿宋_GB2312" w:hAnsi="仿宋_GB2312" w:eastAsia="仿宋_GB2312" w:cs="仿宋_GB2312"/>
          <w:kern w:val="2"/>
          <w:sz w:val="32"/>
          <w:szCs w:val="32"/>
          <w:lang w:val="en-US" w:eastAsia="zh-CN" w:bidi="ar-SA"/>
        </w:rPr>
        <w:t>消毒供应室、3层麻醉手术室（18间）、3层DSA手术室（2间）、5层ICU病房及CCU病房，和所有辅助病房及相关区域的日常报修和应急抢险，遇节假日或工程师突发状况无法完成日常工作，需安排专人进场完成工作。</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right="0" w:rightChars="0" w:firstLine="640" w:firstLineChars="200"/>
        <w:jc w:val="lef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2.响应时间：接到通知后，工作时间15分钟内达到现场，非工作时间30分钟内到达现场。</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right="0" w:rightChars="0" w:firstLine="640" w:firstLineChars="200"/>
        <w:jc w:val="lef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3.按照净化空调设备使用要求，对空调设备进行维护和保养。</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费用要求</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供应商承担维保期间产生的人工费，保修费、维修费等，以及风冷机组保养期间产生的所有费用；采购人承担材料费，包括净化机组易耗品件及排风机组耗材等。</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服务要求</w:t>
      </w:r>
    </w:p>
    <w:p>
      <w:pPr>
        <w:pStyle w:val="4"/>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服务内容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确保东院2号住院楼2层消毒供应室、3层麻醉手术室（18间）、3层DSA手术室（2间）、5层ICU病房及CCU病房，和所有辅助病房及相关区域的净化系统、强弱电，始终处于良好的运行状态。每年由具有检测资质的第三方对维保区域做一次全面检测（维保方出资），内容包括洁净手术室的七大洁净指标(温湿度、风速或换气次数、噪声、压差、照度、尘埃粒子)，应符合《医院洁净手术部建筑技术规范》GB50333-2013的相关要求，最终出具报告。</w:t>
      </w:r>
    </w:p>
    <w:p>
      <w:pPr>
        <w:pStyle w:val="4"/>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服务范围</w:t>
      </w:r>
    </w:p>
    <w:tbl>
      <w:tblPr>
        <w:tblStyle w:val="5"/>
        <w:tblW w:w="8849" w:type="dxa"/>
        <w:tblInd w:w="2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4"/>
        <w:gridCol w:w="3957"/>
        <w:gridCol w:w="1186"/>
        <w:gridCol w:w="11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84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系统及设备清单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r>
              <w:rPr>
                <w:rFonts w:hint="eastAsia" w:ascii="仿宋_GB2312" w:hAnsi="仿宋_GB2312" w:eastAsia="仿宋_GB2312" w:cs="仿宋_GB2312"/>
                <w:b w:val="0"/>
                <w:bCs w:val="0"/>
                <w:sz w:val="32"/>
                <w:szCs w:val="32"/>
                <w:lang w:val="en-US" w:eastAsia="zh-CN"/>
              </w:rPr>
              <w:t>系统</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设备名称</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数量</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空调系统</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新风机组</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10</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循环机组</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13</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风机盘管</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200</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强电系统</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隔离变压器</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手术间器具设备</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情报面板与中央控制面板</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23</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医气系统</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气体终端</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170</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冷热源</w:t>
            </w:r>
          </w:p>
        </w:tc>
        <w:tc>
          <w:tcPr>
            <w:tcW w:w="39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风冷螺杆机组</w:t>
            </w:r>
          </w:p>
        </w:tc>
        <w:tc>
          <w:tcPr>
            <w:tcW w:w="1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p>
        </w:tc>
        <w:tc>
          <w:tcPr>
            <w:tcW w:w="11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套</w:t>
            </w:r>
          </w:p>
        </w:tc>
      </w:tr>
    </w:tbl>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Chars="0" w:right="0" w:right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备注：所有供应商需自行考察现场</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空调系统（新风机组、循环机组、风机盘管）维修维护；</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风冷机组维修维护；</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排风系统维修维护；</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强弱电系统维修维护；</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室外机维护清洁；</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控制系统维修维护等。</w:t>
      </w:r>
    </w:p>
    <w:p>
      <w:pPr>
        <w:pStyle w:val="4"/>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rightChars="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按照医院以及科室要求，做好日常维护和相关保养清理服务。</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每日工作及巡检内容</w:t>
      </w:r>
    </w:p>
    <w:p>
      <w:pPr>
        <w:pStyle w:val="4"/>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医院早晨上班时间提前半小时到场开启第（三）条服务范围所提到的相关设备；</w:t>
      </w:r>
    </w:p>
    <w:p>
      <w:pPr>
        <w:pStyle w:val="4"/>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开启设备后，检查设备运行情况是否正常；</w:t>
      </w:r>
    </w:p>
    <w:p>
      <w:pPr>
        <w:pStyle w:val="4"/>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使用检测设备，检查手术间、洁净通道温湿度、风速、噪声、压差、照度参数是否正常；</w:t>
      </w:r>
    </w:p>
    <w:p>
      <w:pPr>
        <w:pStyle w:val="4"/>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记录运行数据，填写巡检表，并由使用科室护士长签字确认。</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组合风柜的保养内容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Chars="0" w:right="0" w:rightChars="0"/>
        <w:textAlignment w:val="auto"/>
        <w:rPr>
          <w:rFonts w:hint="default"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一、组合风柜的保养内容（每月一次）</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检查风机电机轴承运行情况，添加润滑油，必要时进行更换。</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检查风机电机绝缘情况；检查电机电源及各接线端是否松动、电机各相电流。</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检查并调整风机皮带松紧程度，必要时进行更换。</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检查、调整风机运行的震动及噪音是否正常。</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检查柜体表面，做好防腐处理。</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用专业清洁剂清洗风柜内表面、散热翅片；清理风机叶轮、凝水盘。</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检查机组换热情况，必要时进行清洗。</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检查电极加湿器的工作状态、加湿量与信号模量的比例关系是否正常，桶内的水位情况，排水是否通畅，相间电流是否平衡并及时维护。</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检查加湿器桶内的结垢情况和电极的腐蚀状态，必要时进行维修或更换。</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检查机组保温情况并及时修复，避免冷凝漏水。</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检查机组内的初、中效过滤器、亚高效过滤器的工作情况，如过滤器的阻力偏高或有破损的情况，应立即进行更换。</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检查机组内杀菌装置是否正常，如有损坏应立即更换。</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检查风管绝热层，如有超温、老化、破损须及时修补或更换，并同时作好保温材料的维护。</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系统的支吊构件检查、修复、除锈刷漆支吊构件必须牢固，及时修复和紧固。</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Chars="0" w:right="0" w:rightChars="0"/>
        <w:textAlignment w:val="auto"/>
        <w:rPr>
          <w:rFonts w:hint="default"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二、组合风柜的保养内容（每半年清洁一次）</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Chars="200" w:right="0" w:right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1.每半年清洁一次热交换器的翅片，肋片有压倒的用弛梳梳好。</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洁净手术间的维护、监测内容</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每月对手术间、辅助用房、洁净通道进行一次温湿度、风速、噪声、压差、照度、尘埃粒子的检测和调试，并记录数据。</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每周应对手术室及辅助房的回风口过滤器清洁一次，每6个月更换1次回风口的中效过滤器、对进行更换的应记录和查验。</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每周应对手术室及辅助房的排风口清洁一次，对进行更换的应记录和查验。</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每月检查送排静压箱及送风装置一次，静压箱应密封严密，保温良好，口面风速均匀合理。</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每月检查高效过滤器的密封口处是否漏风和过滤器是否破损，并根据高效过滤器的阻力判断是否需要更换。</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每次更换过滤器时，应对静压箱的内表面进行清洁、消毒。</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每月检查净化空调风管道的清洁程度，必要时应对其表面进行除尘清扫。</w:t>
      </w:r>
    </w:p>
    <w:p>
      <w:pPr>
        <w:pStyle w:val="4"/>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建立设备维保档案，填写设备维修保养记录卡；呈交以上所有项目的月度维护工作报告书，根据科室实际使用情况可更改维保及易损品更换计划。</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强弱电系统维保内容（两周一次）</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检查空调控制系统、温、湿度显示器、情报面板系统的正常工作。</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检查监控器显示值与设定值的符合性，包括各区的正压值、梯度监控记录；远控面板控制开关灵活，接触器无打火现象，接线端子牢固，电路板无尘。</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对配电柜箱体及柜内所有电气部件保洁，对交流接触器、热继电器、自动空气开关、中间继电器等所有电子元件，进行风枪除尘。及时更换老化、受损电子元件和其他配件。定期检查散热风扇状态，确保配电柜通风正常，风扇运行风量满足电器散热要求。</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检查及修复弱电系统管线，保证线管完整、牢固、线路整洁，杜绝鼠类进入线管或桥架。定期检测电路绝缘性，紧固接线头，保持接触牢固并做好线路的保养工作。</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清洁设备层，确保室内无积水，钢结构无锈，新风口保持清洁、牢固，做到机房内干燥、通风、清洁、无灰尘、异物。</w:t>
      </w:r>
    </w:p>
    <w:p>
      <w:pPr>
        <w:pStyle w:val="4"/>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电控系统维保内容（两周一次）</w:t>
      </w:r>
    </w:p>
    <w:p>
      <w:pPr>
        <w:pStyle w:val="4"/>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断开控制柜总电源，检查各转换开关，启动、停止按钮动作应灵活可靠。检查柜内空气开关、接触器、继电器等电器是否完好，紧固各电器接触线头和接线端子的接线螺丝。</w:t>
      </w:r>
    </w:p>
    <w:p>
      <w:pPr>
        <w:pStyle w:val="4"/>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检测器件(温度计、压力表、传感器、执行器)维修保养。</w:t>
      </w:r>
    </w:p>
    <w:p>
      <w:pPr>
        <w:pStyle w:val="4"/>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检测校对温度、湿度、压力传感器参数是否正常，对不准确的传感器进行更换。</w:t>
      </w:r>
    </w:p>
    <w:p>
      <w:pPr>
        <w:pStyle w:val="4"/>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检查装检测器的部位是否有渗漏，如有渗漏则进行维修处理。</w:t>
      </w:r>
    </w:p>
    <w:p>
      <w:pPr>
        <w:pStyle w:val="4"/>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检查校对各执行器的工作状态，如有故障进行维修或更换。</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控制部分维修保养（两周一次）</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清洁控制柜内外的灰尘、脏物；</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检查、紧固所有接线头，对于烧蚀严重的接线头应更换；</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交流接触器维修保养：清除灭弧罩内的碳化物和金属颗粒；</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清除触头表面及四周的污物(但不要修锉触头)，如触头烧蚀严重则应更换同规格交流接触器；清洁铁芯上的灰尘及脏物；拧紧所有紧固螺栓。</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热继电器维修保养：检查热继电器的导线接头处有无过热或烧伤痕迹，如有则应整修处理，处理后达不到要求的应更换；检查热继电器上的绝缘盖板是否完整，如损坏则应更换。</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自动空气开关维修保养：用500V摇表测量绝缘电阻应不低于0.5MΩ，否则应烘干处理；清除灭弧罩内的碳化物或金属颗粒，如灭弧罩损坏则应更换；清除触头表面上的小金属颗粒(不要修锉)。</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信号灯、指示仪表维修保养：检查各信号灯是否正常，如不亮则应更换同规格的小灯泡；检查各指示仪表指示是否正确，如偏差较大则应作适当调整，调整后偏差仍较大应更换。</w:t>
      </w:r>
    </w:p>
    <w:p>
      <w:pPr>
        <w:pStyle w:val="4"/>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间继电器、信号继电器维修保养：对中间继电器、信号继电器做模拟实验，检查二者的动作是否可靠，输出的信号是否正常，如有故障维修或更换同型号的中间继电器、信号继电器。</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易耗品的更换情况</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空气处理机内的初效过滤器1-2个月更换1次；每月清洁一次。</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空气处理机内的中效过滤器每3个月更换1次；每月清洁一次。</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新风机上的初效过滤器1个月更换1次；中效过滤器5-6个月更换1次；亚高效1年更换一次。</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其余小型开关、网络模块、各类传感器、压力表计、皮带及水系统阀门均按原数量的10℅备品备用。</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粗效过滤器要求：外框：铝合金，内框：镀锌铁丝支架，滤料：合成纤维过滤棉，过滤效率G4。</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中效过滤器要求：外框：铝合金，内框压条：镀锌铁皮，滤料：复合无纺布滤料，过滤效率F8。</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亚高效过滤器要求：外框：塑胶外框，密封物：聚胺脂胶，使用最高温度、湿度：80℃、80%，分隔物：热熔胶，滤料：聚酯纤维（PP），过滤效率H10。</w:t>
      </w:r>
    </w:p>
    <w:p>
      <w:pPr>
        <w:pStyle w:val="4"/>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0" w:leftChars="0" w:right="0"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根据科室实际使用情况，可修改更换计划。</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b/>
          <w:bCs/>
          <w:color w:val="000000"/>
          <w:kern w:val="0"/>
          <w:sz w:val="36"/>
          <w:szCs w:val="36"/>
          <w:lang w:val="en-US" w:eastAsia="zh-CN"/>
        </w:rPr>
      </w:pPr>
      <w:r>
        <w:rPr>
          <w:rFonts w:hint="eastAsia" w:ascii="宋体" w:hAnsi="宋体" w:eastAsia="宋体" w:cs="宋体"/>
          <w:b/>
          <w:bCs/>
          <w:color w:val="000000"/>
          <w:kern w:val="0"/>
          <w:sz w:val="36"/>
          <w:szCs w:val="36"/>
          <w:lang w:val="en-US" w:eastAsia="zh-CN"/>
        </w:rPr>
        <w:t>（十一）市人民医院东院手术室区</w:t>
      </w:r>
      <w:r>
        <w:rPr>
          <w:rFonts w:hint="eastAsia" w:ascii="宋体" w:hAnsi="宋体" w:cs="宋体"/>
          <w:b/>
          <w:bCs/>
          <w:color w:val="000000"/>
          <w:kern w:val="0"/>
          <w:sz w:val="36"/>
          <w:szCs w:val="36"/>
          <w:lang w:val="en-US" w:eastAsia="zh-CN"/>
        </w:rPr>
        <w:t>域净化维保</w:t>
      </w:r>
      <w:r>
        <w:rPr>
          <w:rFonts w:hint="eastAsia" w:ascii="宋体" w:hAnsi="宋体" w:cs="宋体"/>
          <w:b/>
          <w:bCs/>
          <w:color w:val="000000"/>
          <w:kern w:val="0"/>
          <w:sz w:val="36"/>
          <w:szCs w:val="36"/>
        </w:rPr>
        <w:t>考核</w:t>
      </w:r>
      <w:r>
        <w:rPr>
          <w:rFonts w:hint="eastAsia" w:ascii="宋体" w:hAnsi="宋体" w:cs="宋体"/>
          <w:b/>
          <w:bCs/>
          <w:color w:val="000000"/>
          <w:kern w:val="0"/>
          <w:sz w:val="36"/>
          <w:szCs w:val="36"/>
          <w:lang w:val="en-US" w:eastAsia="zh-CN"/>
        </w:rPr>
        <w:t>表</w:t>
      </w:r>
      <w:r>
        <w:rPr>
          <w:rFonts w:hint="eastAsia" w:ascii="宋体" w:hAnsi="宋体" w:eastAsia="宋体" w:cs="宋体"/>
          <w:b/>
          <w:bCs/>
          <w:color w:val="000000"/>
          <w:kern w:val="0"/>
          <w:sz w:val="36"/>
          <w:szCs w:val="36"/>
          <w:lang w:val="en-US" w:eastAsia="zh-CN"/>
        </w:rPr>
        <w:t>（每半年考核一次）</w:t>
      </w:r>
    </w:p>
    <w:tbl>
      <w:tblPr>
        <w:tblStyle w:val="5"/>
        <w:tblpPr w:leftFromText="180" w:rightFromText="180" w:vertAnchor="text" w:horzAnchor="page" w:tblpX="1929" w:tblpY="61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60"/>
        <w:gridCol w:w="2070"/>
        <w:gridCol w:w="885"/>
        <w:gridCol w:w="1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4160" w:type="dxa"/>
            <w:noWrap w:val="0"/>
            <w:vAlign w:val="center"/>
          </w:tcPr>
          <w:p>
            <w:pPr>
              <w:jc w:val="center"/>
              <w:rPr>
                <w:rFonts w:hint="eastAsia" w:ascii="宋体" w:hAnsi="宋体" w:cs="宋体"/>
                <w:color w:val="000000"/>
                <w:sz w:val="24"/>
                <w:szCs w:val="24"/>
              </w:rPr>
            </w:pPr>
            <w:r>
              <w:rPr>
                <w:rFonts w:hint="eastAsia" w:ascii="宋体" w:hAnsi="宋体" w:cs="宋体"/>
                <w:color w:val="000000"/>
                <w:sz w:val="24"/>
                <w:szCs w:val="24"/>
              </w:rPr>
              <w:t>细则要求</w:t>
            </w:r>
          </w:p>
        </w:tc>
        <w:tc>
          <w:tcPr>
            <w:tcW w:w="2070" w:type="dxa"/>
            <w:noWrap w:val="0"/>
            <w:vAlign w:val="center"/>
          </w:tcPr>
          <w:p>
            <w:pPr>
              <w:jc w:val="center"/>
              <w:rPr>
                <w:rFonts w:hint="eastAsia" w:ascii="宋体" w:hAnsi="宋体" w:cs="宋体"/>
                <w:color w:val="000000"/>
                <w:sz w:val="24"/>
                <w:szCs w:val="24"/>
              </w:rPr>
            </w:pPr>
            <w:r>
              <w:rPr>
                <w:rFonts w:hint="eastAsia" w:ascii="宋体" w:hAnsi="宋体" w:cs="宋体"/>
                <w:color w:val="000000"/>
                <w:sz w:val="24"/>
                <w:szCs w:val="24"/>
              </w:rPr>
              <w:t>扣分标准</w:t>
            </w:r>
          </w:p>
        </w:tc>
        <w:tc>
          <w:tcPr>
            <w:tcW w:w="885" w:type="dxa"/>
            <w:noWrap w:val="0"/>
            <w:vAlign w:val="center"/>
          </w:tcPr>
          <w:p>
            <w:pPr>
              <w:jc w:val="center"/>
              <w:rPr>
                <w:rFonts w:hint="eastAsia" w:ascii="宋体" w:hAnsi="宋体" w:cs="宋体"/>
                <w:color w:val="000000"/>
                <w:sz w:val="24"/>
                <w:szCs w:val="24"/>
              </w:rPr>
            </w:pPr>
            <w:r>
              <w:rPr>
                <w:rFonts w:hint="eastAsia" w:ascii="宋体" w:hAnsi="宋体" w:cs="宋体"/>
                <w:color w:val="000000"/>
                <w:sz w:val="24"/>
                <w:szCs w:val="24"/>
              </w:rPr>
              <w:t>分值</w:t>
            </w:r>
          </w:p>
        </w:tc>
        <w:tc>
          <w:tcPr>
            <w:tcW w:w="1230" w:type="dxa"/>
            <w:noWrap w:val="0"/>
            <w:vAlign w:val="center"/>
          </w:tcPr>
          <w:p>
            <w:pPr>
              <w:jc w:val="center"/>
              <w:rPr>
                <w:rFonts w:hint="eastAsia" w:ascii="宋体" w:hAnsi="宋体" w:cs="宋体"/>
                <w:color w:val="000000"/>
                <w:sz w:val="24"/>
                <w:szCs w:val="24"/>
              </w:rPr>
            </w:pPr>
            <w:r>
              <w:rPr>
                <w:rFonts w:hint="eastAsia" w:ascii="宋体" w:hAnsi="宋体" w:cs="宋体"/>
                <w:color w:val="000000"/>
                <w:sz w:val="24"/>
                <w:szCs w:val="24"/>
              </w:rPr>
              <w:t>实际得分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160" w:type="dxa"/>
            <w:tcBorders>
              <w:left w:val="single" w:color="auto" w:sz="4" w:space="0"/>
            </w:tcBorders>
            <w:noWrap w:val="0"/>
            <w:vAlign w:val="center"/>
          </w:tcPr>
          <w:p>
            <w:pP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现场要求有常驻人员，每天要签到</w:t>
            </w:r>
          </w:p>
        </w:tc>
        <w:tc>
          <w:tcPr>
            <w:tcW w:w="2070" w:type="dxa"/>
            <w:noWrap w:val="0"/>
            <w:vAlign w:val="center"/>
          </w:tcPr>
          <w:p>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缺勤一次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160" w:type="dxa"/>
            <w:tcBorders>
              <w:left w:val="single" w:color="auto" w:sz="4" w:space="0"/>
            </w:tcBorders>
            <w:noWrap w:val="0"/>
            <w:vAlign w:val="center"/>
          </w:tcPr>
          <w:p>
            <w:pPr>
              <w:rPr>
                <w:rFonts w:hint="eastAsia" w:ascii="宋体" w:hAnsi="宋体" w:cs="宋体"/>
                <w:color w:val="000000"/>
                <w:kern w:val="0"/>
                <w:sz w:val="24"/>
                <w:szCs w:val="24"/>
                <w:lang w:val="en-US" w:eastAsia="zh-CN"/>
              </w:rPr>
            </w:pPr>
            <w:r>
              <w:rPr>
                <w:rFonts w:hint="eastAsia" w:ascii="宋体" w:hAnsi="宋体"/>
                <w:sz w:val="24"/>
              </w:rPr>
              <w:t>维修人员是否持证上岗</w:t>
            </w:r>
            <w:r>
              <w:rPr>
                <w:rFonts w:hint="eastAsia" w:ascii="宋体" w:hAnsi="宋体"/>
                <w:sz w:val="24"/>
                <w:lang w:eastAsia="zh-CN"/>
              </w:rPr>
              <w:t>，</w:t>
            </w:r>
            <w:r>
              <w:rPr>
                <w:rFonts w:hint="eastAsia" w:ascii="宋体" w:hAnsi="宋体"/>
                <w:sz w:val="24"/>
              </w:rPr>
              <w:t>维修人员维修作</w:t>
            </w:r>
            <w:r>
              <w:rPr>
                <w:rFonts w:hint="eastAsia" w:ascii="宋体" w:hAnsi="宋体"/>
                <w:sz w:val="24"/>
                <w:lang w:eastAsia="zh-CN"/>
              </w:rPr>
              <w:t>业时</w:t>
            </w:r>
            <w:r>
              <w:rPr>
                <w:rFonts w:hint="eastAsia" w:ascii="宋体" w:hAnsi="宋体"/>
                <w:sz w:val="24"/>
              </w:rPr>
              <w:t>是否有安全防护</w:t>
            </w:r>
          </w:p>
        </w:tc>
        <w:tc>
          <w:tcPr>
            <w:tcW w:w="2070" w:type="dxa"/>
            <w:noWrap w:val="0"/>
            <w:vAlign w:val="center"/>
          </w:tcPr>
          <w:p>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885" w:type="dxa"/>
            <w:noWrap w:val="0"/>
            <w:vAlign w:val="center"/>
          </w:tcPr>
          <w:p>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160" w:type="dxa"/>
            <w:tcBorders>
              <w:left w:val="single" w:color="auto" w:sz="4" w:space="0"/>
            </w:tcBorders>
            <w:noWrap w:val="0"/>
            <w:vAlign w:val="center"/>
          </w:tcPr>
          <w:p>
            <w:pPr>
              <w:rPr>
                <w:rFonts w:hint="eastAsia" w:ascii="宋体" w:hAnsi="宋体" w:eastAsia="宋体"/>
                <w:sz w:val="24"/>
                <w:lang w:eastAsia="zh-CN"/>
              </w:rPr>
            </w:pPr>
            <w:r>
              <w:rPr>
                <w:rFonts w:hint="eastAsia" w:ascii="宋体" w:hAnsi="宋体"/>
                <w:sz w:val="24"/>
                <w:lang w:eastAsia="zh-CN"/>
              </w:rPr>
              <w:t>需用电焊等使用明火时需向</w:t>
            </w:r>
            <w:r>
              <w:rPr>
                <w:rFonts w:hint="eastAsia" w:ascii="宋体" w:hAnsi="宋体"/>
                <w:sz w:val="24"/>
                <w:lang w:val="en-US" w:eastAsia="zh-CN"/>
              </w:rPr>
              <w:t>总务科</w:t>
            </w:r>
            <w:r>
              <w:rPr>
                <w:rFonts w:hint="eastAsia" w:ascii="宋体" w:hAnsi="宋体"/>
                <w:sz w:val="24"/>
                <w:lang w:eastAsia="zh-CN"/>
              </w:rPr>
              <w:t>报备</w:t>
            </w:r>
          </w:p>
        </w:tc>
        <w:tc>
          <w:tcPr>
            <w:tcW w:w="2070" w:type="dxa"/>
            <w:noWrap w:val="0"/>
            <w:vAlign w:val="center"/>
          </w:tcPr>
          <w:p>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885" w:type="dxa"/>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160" w:type="dxa"/>
            <w:tcBorders>
              <w:left w:val="single" w:color="auto" w:sz="4" w:space="0"/>
            </w:tcBorders>
            <w:noWrap w:val="0"/>
            <w:vAlign w:val="center"/>
          </w:tcPr>
          <w:p>
            <w:pPr>
              <w:rPr>
                <w:rFonts w:hint="eastAsia" w:ascii="宋体" w:hAnsi="宋体"/>
                <w:sz w:val="24"/>
                <w:lang w:eastAsia="zh-CN"/>
              </w:rPr>
            </w:pPr>
            <w:r>
              <w:rPr>
                <w:rFonts w:hint="eastAsia" w:ascii="宋体" w:hAnsi="宋体" w:cs="宋体"/>
                <w:color w:val="000000"/>
                <w:kern w:val="0"/>
                <w:sz w:val="24"/>
                <w:szCs w:val="24"/>
                <w:lang w:val="en-US" w:eastAsia="zh-CN"/>
              </w:rPr>
              <w:t>施工过程中不能造成其他财物损坏，保持环境卫生状况良好</w:t>
            </w:r>
          </w:p>
        </w:tc>
        <w:tc>
          <w:tcPr>
            <w:tcW w:w="2070" w:type="dxa"/>
            <w:noWrap w:val="0"/>
            <w:vAlign w:val="center"/>
          </w:tcPr>
          <w:p>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发现一次扣1分</w:t>
            </w:r>
          </w:p>
        </w:tc>
        <w:tc>
          <w:tcPr>
            <w:tcW w:w="885" w:type="dxa"/>
            <w:noWrap w:val="0"/>
            <w:vAlign w:val="center"/>
          </w:tcPr>
          <w:p>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4160" w:type="dxa"/>
            <w:tcBorders>
              <w:left w:val="single" w:color="auto" w:sz="4" w:space="0"/>
            </w:tcBorders>
            <w:noWrap w:val="0"/>
            <w:vAlign w:val="center"/>
          </w:tcPr>
          <w:p>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每日巡查表是否记录完整</w:t>
            </w:r>
          </w:p>
        </w:tc>
        <w:tc>
          <w:tcPr>
            <w:tcW w:w="2070" w:type="dxa"/>
            <w:noWrap w:val="0"/>
            <w:vAlign w:val="center"/>
          </w:tcPr>
          <w:p>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885" w:type="dxa"/>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trPr>
        <w:tc>
          <w:tcPr>
            <w:tcW w:w="4160" w:type="dxa"/>
            <w:tcBorders>
              <w:left w:val="single" w:color="auto" w:sz="4" w:space="0"/>
            </w:tcBorders>
            <w:noWrap w:val="0"/>
            <w:vAlign w:val="center"/>
          </w:tcPr>
          <w:p>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每月参数调试记录表是否完整</w:t>
            </w:r>
          </w:p>
        </w:tc>
        <w:tc>
          <w:tcPr>
            <w:tcW w:w="2070" w:type="dxa"/>
            <w:noWrap w:val="0"/>
            <w:vAlign w:val="center"/>
          </w:tcPr>
          <w:p>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885" w:type="dxa"/>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4" w:hRule="atLeast"/>
        </w:trPr>
        <w:tc>
          <w:tcPr>
            <w:tcW w:w="4160" w:type="dxa"/>
            <w:tcBorders>
              <w:left w:val="single" w:color="auto" w:sz="4" w:space="0"/>
            </w:tcBorders>
            <w:noWrap w:val="0"/>
            <w:vAlign w:val="center"/>
          </w:tcPr>
          <w:p>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接到报修电话，工作时间15分钟内达到现场，非工作时间30分钟内到达现场</w:t>
            </w:r>
          </w:p>
        </w:tc>
        <w:tc>
          <w:tcPr>
            <w:tcW w:w="2070" w:type="dxa"/>
            <w:noWrap w:val="0"/>
            <w:vAlign w:val="center"/>
          </w:tcPr>
          <w:p>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迟到一次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eastAsia="宋体" w:cs="宋体"/>
                <w:color w:val="000000"/>
                <w:kern w:val="2"/>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1" w:hRule="atLeast"/>
        </w:trPr>
        <w:tc>
          <w:tcPr>
            <w:tcW w:w="4160" w:type="dxa"/>
            <w:tcBorders>
              <w:left w:val="single" w:color="auto" w:sz="4" w:space="0"/>
              <w:bottom w:val="single" w:color="auto" w:sz="4" w:space="0"/>
            </w:tcBorders>
            <w:noWrap w:val="0"/>
            <w:vAlign w:val="center"/>
          </w:tcPr>
          <w:p>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空调系统故障（新风机组、循环机组、风机盘管）等大修要求72小时内修复，小修要求48小时内修复</w:t>
            </w:r>
          </w:p>
        </w:tc>
        <w:tc>
          <w:tcPr>
            <w:tcW w:w="2070" w:type="dxa"/>
            <w:noWrap w:val="0"/>
            <w:vAlign w:val="center"/>
          </w:tcPr>
          <w:p>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4160" w:type="dxa"/>
            <w:tcBorders>
              <w:top w:val="single" w:color="auto" w:sz="4" w:space="0"/>
              <w:left w:val="single" w:color="auto" w:sz="4" w:space="0"/>
            </w:tcBorders>
            <w:noWrap w:val="0"/>
            <w:vAlign w:val="center"/>
          </w:tcPr>
          <w:p>
            <w:pP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强电系统故障（隔离变压器）等大修要求72小时内修复，小修要求48小时内修复</w:t>
            </w:r>
          </w:p>
        </w:tc>
        <w:tc>
          <w:tcPr>
            <w:tcW w:w="2070" w:type="dxa"/>
            <w:noWrap w:val="0"/>
            <w:vAlign w:val="center"/>
          </w:tcPr>
          <w:p>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4160" w:type="dxa"/>
            <w:tcBorders>
              <w:left w:val="single" w:color="auto" w:sz="4" w:space="0"/>
            </w:tcBorders>
            <w:noWrap w:val="0"/>
            <w:vAlign w:val="center"/>
          </w:tcPr>
          <w:p>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手术间器具设备（情报面板与中央控制面板）大修要求72小时内修复，小修要求48小时内修复</w:t>
            </w:r>
          </w:p>
        </w:tc>
        <w:tc>
          <w:tcPr>
            <w:tcW w:w="2070" w:type="dxa"/>
            <w:noWrap w:val="0"/>
            <w:vAlign w:val="center"/>
          </w:tcPr>
          <w:p>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4" w:hRule="atLeast"/>
        </w:trPr>
        <w:tc>
          <w:tcPr>
            <w:tcW w:w="4160" w:type="dxa"/>
            <w:tcBorders>
              <w:left w:val="single" w:color="auto" w:sz="4" w:space="0"/>
            </w:tcBorders>
            <w:noWrap w:val="0"/>
            <w:vAlign w:val="center"/>
          </w:tcPr>
          <w:p>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风冷机组大修要求72小时内修复，小修要求48小时内修复</w:t>
            </w:r>
          </w:p>
        </w:tc>
        <w:tc>
          <w:tcPr>
            <w:tcW w:w="2070" w:type="dxa"/>
            <w:noWrap w:val="0"/>
            <w:vAlign w:val="center"/>
          </w:tcPr>
          <w:p>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trPr>
        <w:tc>
          <w:tcPr>
            <w:tcW w:w="4160" w:type="dxa"/>
            <w:tcBorders>
              <w:left w:val="single" w:color="auto" w:sz="4" w:space="0"/>
            </w:tcBorders>
            <w:noWrap w:val="0"/>
            <w:vAlign w:val="center"/>
          </w:tcPr>
          <w:p>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医气系统（气体终端）维修要求24小时内修复</w:t>
            </w:r>
          </w:p>
        </w:tc>
        <w:tc>
          <w:tcPr>
            <w:tcW w:w="2070" w:type="dxa"/>
            <w:noWrap w:val="0"/>
            <w:vAlign w:val="center"/>
          </w:tcPr>
          <w:p>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885" w:type="dxa"/>
            <w:noWrap w:val="0"/>
            <w:vAlign w:val="center"/>
          </w:tcPr>
          <w:p>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4" w:hRule="atLeast"/>
        </w:trPr>
        <w:tc>
          <w:tcPr>
            <w:tcW w:w="4160" w:type="dxa"/>
            <w:tcBorders>
              <w:left w:val="single" w:color="auto" w:sz="4" w:space="0"/>
            </w:tcBorders>
            <w:noWrap w:val="0"/>
            <w:vAlign w:val="center"/>
          </w:tcPr>
          <w:p>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每次维修或保养必须填写作业单，记录详细过程并要求当事人签字</w:t>
            </w:r>
          </w:p>
        </w:tc>
        <w:tc>
          <w:tcPr>
            <w:tcW w:w="2070" w:type="dxa"/>
            <w:noWrap w:val="0"/>
            <w:vAlign w:val="center"/>
          </w:tcPr>
          <w:p>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发现一次扣1分</w:t>
            </w:r>
          </w:p>
        </w:tc>
        <w:tc>
          <w:tcPr>
            <w:tcW w:w="885" w:type="dxa"/>
            <w:noWrap w:val="0"/>
            <w:vAlign w:val="center"/>
          </w:tcPr>
          <w:p>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0" w:type="dxa"/>
            <w:noWrap w:val="0"/>
            <w:vAlign w:val="top"/>
          </w:tcPr>
          <w:p>
            <w:pPr>
              <w:rPr>
                <w:rFonts w:hint="eastAsia" w:ascii="宋体" w:hAnsi="宋体" w:cs="宋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6230" w:type="dxa"/>
            <w:gridSpan w:val="2"/>
            <w:tcBorders>
              <w:left w:val="single" w:color="auto" w:sz="4" w:space="0"/>
            </w:tcBorders>
            <w:noWrap w:val="0"/>
            <w:vAlign w:val="center"/>
          </w:tcPr>
          <w:p>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总分</w:t>
            </w:r>
          </w:p>
        </w:tc>
        <w:tc>
          <w:tcPr>
            <w:tcW w:w="885" w:type="dxa"/>
            <w:tcBorders>
              <w:left w:val="single" w:color="auto" w:sz="4" w:space="0"/>
            </w:tcBorders>
            <w:noWrap w:val="0"/>
            <w:vAlign w:val="center"/>
          </w:tcPr>
          <w:p>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100</w:t>
            </w:r>
          </w:p>
        </w:tc>
        <w:tc>
          <w:tcPr>
            <w:tcW w:w="1230" w:type="dxa"/>
            <w:noWrap w:val="0"/>
            <w:vAlign w:val="top"/>
          </w:tcPr>
          <w:p>
            <w:pPr>
              <w:rPr>
                <w:rFonts w:hint="eastAsia" w:ascii="宋体" w:hAnsi="宋体" w:cs="宋体"/>
                <w:color w:val="000000"/>
                <w:sz w:val="24"/>
                <w:szCs w:val="24"/>
              </w:rPr>
            </w:pPr>
          </w:p>
        </w:tc>
      </w:tr>
    </w:tbl>
    <w:p>
      <w:pPr>
        <w:rPr>
          <w:rFonts w:hint="eastAsia"/>
          <w:sz w:val="24"/>
          <w:szCs w:val="24"/>
          <w:lang w:val="en-US" w:eastAsia="zh-CN"/>
        </w:rPr>
      </w:pPr>
    </w:p>
    <w:p>
      <w:pPr>
        <w:ind w:firstLine="720" w:firstLineChars="300"/>
        <w:jc w:val="both"/>
        <w:rPr>
          <w:rFonts w:hint="eastAsia"/>
          <w:sz w:val="24"/>
          <w:szCs w:val="24"/>
          <w:lang w:val="en-US" w:eastAsia="zh-CN"/>
        </w:rPr>
      </w:pPr>
      <w:r>
        <w:rPr>
          <w:rFonts w:hint="eastAsia"/>
          <w:sz w:val="24"/>
          <w:szCs w:val="24"/>
          <w:lang w:val="en-US" w:eastAsia="zh-CN"/>
        </w:rPr>
        <w:t>考核人签名：</w:t>
      </w:r>
      <w:r>
        <w:rPr>
          <w:rFonts w:hint="eastAsia" w:ascii="宋体" w:hAnsi="宋体" w:cs="宋体"/>
          <w:color w:val="000000"/>
          <w:kern w:val="0"/>
          <w:sz w:val="24"/>
          <w:szCs w:val="24"/>
          <w:lang w:val="en-US" w:eastAsia="zh-CN"/>
        </w:rPr>
        <w:t xml:space="preserve">                                      年     月     日</w:t>
      </w:r>
    </w:p>
    <w:p>
      <w:pPr>
        <w:widowControl/>
        <w:spacing w:line="480" w:lineRule="exact"/>
        <w:rPr>
          <w:rFonts w:hint="eastAsia" w:ascii="宋体" w:hAnsi="宋体"/>
          <w:b/>
          <w:sz w:val="28"/>
          <w:szCs w:val="28"/>
          <w:lang w:eastAsia="zh-CN"/>
        </w:rPr>
      </w:pPr>
    </w:p>
    <w:p>
      <w:pPr>
        <w:widowControl/>
        <w:spacing w:line="460" w:lineRule="exact"/>
        <w:jc w:val="center"/>
        <w:rPr>
          <w:rFonts w:hint="eastAsia" w:ascii="宋体" w:hAnsi="宋体" w:cs="宋体"/>
          <w:b/>
          <w:sz w:val="28"/>
          <w:szCs w:val="28"/>
        </w:rPr>
      </w:pPr>
      <w:r>
        <w:rPr>
          <w:rFonts w:hint="eastAsia" w:ascii="宋体" w:hAnsi="宋体" w:eastAsia="宋体" w:cs="Times New Roman"/>
          <w:b/>
          <w:sz w:val="36"/>
          <w:szCs w:val="36"/>
          <w:lang w:val="en-US" w:eastAsia="zh-CN"/>
        </w:rPr>
        <w:t>三、</w:t>
      </w:r>
      <w:r>
        <w:rPr>
          <w:rFonts w:hint="eastAsia" w:ascii="宋体" w:hAnsi="宋体" w:eastAsia="宋体" w:cs="Times New Roman"/>
          <w:b/>
          <w:sz w:val="36"/>
          <w:szCs w:val="36"/>
        </w:rPr>
        <w:t>商务要求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1、合同履行期限：1年。</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2、服务地点：马鞍山市（采购人指定地点）</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3、付款方式：每半年支付一次。成交供应商完成每月维保任务后每半年汇总一次，每半年将汇总的维保小结报送采购人，经采购人审核通过无误后支付上半年的维保费用。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项目实施过程中，进场单位和人员的资质、资格符合国家、省、市有关规定。实施期间成交供应商所发生的或成交供应商实施场地内发生的或成交供应商原因造成的安全事故，均应由成交供应商负责按有关规定处理善后事宜，并承担给采购人造成的损失。</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2"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5、响应文件中为本项目配备的人员力量，在合同履行期间，成交供应商须按采购人要求到达本项目现场提供相应服务，否则采购人有权解除采购合同。</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6、本项目总报价包含了履行合同所有内容的全部费用，及所有价内价外税金及合理利润等及所有价内价外税金及合理利润。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0FEAFE"/>
    <w:multiLevelType w:val="singleLevel"/>
    <w:tmpl w:val="900FEAFE"/>
    <w:lvl w:ilvl="0" w:tentative="0">
      <w:start w:val="1"/>
      <w:numFmt w:val="decimal"/>
      <w:suff w:val="nothing"/>
      <w:lvlText w:val="%1．"/>
      <w:lvlJc w:val="left"/>
      <w:pPr>
        <w:ind w:left="0" w:firstLine="400"/>
      </w:pPr>
      <w:rPr>
        <w:rFonts w:hint="default"/>
      </w:rPr>
    </w:lvl>
  </w:abstractNum>
  <w:abstractNum w:abstractNumId="1">
    <w:nsid w:val="B0765C95"/>
    <w:multiLevelType w:val="singleLevel"/>
    <w:tmpl w:val="B0765C95"/>
    <w:lvl w:ilvl="0" w:tentative="0">
      <w:start w:val="1"/>
      <w:numFmt w:val="chineseCounting"/>
      <w:suff w:val="nothing"/>
      <w:lvlText w:val="（%1）"/>
      <w:lvlJc w:val="left"/>
      <w:pPr>
        <w:ind w:left="0" w:firstLine="420"/>
      </w:pPr>
      <w:rPr>
        <w:rFonts w:hint="eastAsia"/>
      </w:rPr>
    </w:lvl>
  </w:abstractNum>
  <w:abstractNum w:abstractNumId="2">
    <w:nsid w:val="BCF6A801"/>
    <w:multiLevelType w:val="singleLevel"/>
    <w:tmpl w:val="BCF6A801"/>
    <w:lvl w:ilvl="0" w:tentative="0">
      <w:start w:val="1"/>
      <w:numFmt w:val="decimal"/>
      <w:suff w:val="nothing"/>
      <w:lvlText w:val="%1．"/>
      <w:lvlJc w:val="left"/>
      <w:pPr>
        <w:ind w:left="0" w:firstLine="400"/>
      </w:pPr>
      <w:rPr>
        <w:rFonts w:hint="default"/>
      </w:rPr>
    </w:lvl>
  </w:abstractNum>
  <w:abstractNum w:abstractNumId="3">
    <w:nsid w:val="C06FDD12"/>
    <w:multiLevelType w:val="singleLevel"/>
    <w:tmpl w:val="C06FDD12"/>
    <w:lvl w:ilvl="0" w:tentative="0">
      <w:start w:val="1"/>
      <w:numFmt w:val="decimal"/>
      <w:suff w:val="nothing"/>
      <w:lvlText w:val="%1．"/>
      <w:lvlJc w:val="left"/>
      <w:pPr>
        <w:ind w:left="0" w:firstLine="400"/>
      </w:pPr>
      <w:rPr>
        <w:rFonts w:hint="default"/>
      </w:rPr>
    </w:lvl>
  </w:abstractNum>
  <w:abstractNum w:abstractNumId="4">
    <w:nsid w:val="C197AA13"/>
    <w:multiLevelType w:val="singleLevel"/>
    <w:tmpl w:val="C197AA13"/>
    <w:lvl w:ilvl="0" w:tentative="0">
      <w:start w:val="1"/>
      <w:numFmt w:val="decimal"/>
      <w:suff w:val="nothing"/>
      <w:lvlText w:val="%1．"/>
      <w:lvlJc w:val="left"/>
      <w:pPr>
        <w:ind w:left="0" w:firstLine="400"/>
      </w:pPr>
      <w:rPr>
        <w:rFonts w:hint="default"/>
      </w:rPr>
    </w:lvl>
  </w:abstractNum>
  <w:abstractNum w:abstractNumId="5">
    <w:nsid w:val="D012F994"/>
    <w:multiLevelType w:val="singleLevel"/>
    <w:tmpl w:val="D012F994"/>
    <w:lvl w:ilvl="0" w:tentative="0">
      <w:start w:val="1"/>
      <w:numFmt w:val="chineseCounting"/>
      <w:suff w:val="nothing"/>
      <w:lvlText w:val="%1、"/>
      <w:lvlJc w:val="left"/>
      <w:pPr>
        <w:ind w:left="0" w:firstLine="420"/>
      </w:pPr>
      <w:rPr>
        <w:rFonts w:hint="eastAsia"/>
      </w:rPr>
    </w:lvl>
  </w:abstractNum>
  <w:abstractNum w:abstractNumId="6">
    <w:nsid w:val="DACF290C"/>
    <w:multiLevelType w:val="singleLevel"/>
    <w:tmpl w:val="DACF290C"/>
    <w:lvl w:ilvl="0" w:tentative="0">
      <w:start w:val="1"/>
      <w:numFmt w:val="decimal"/>
      <w:suff w:val="nothing"/>
      <w:lvlText w:val="%1．"/>
      <w:lvlJc w:val="left"/>
      <w:pPr>
        <w:ind w:left="0" w:firstLine="400"/>
      </w:pPr>
      <w:rPr>
        <w:rFonts w:hint="default"/>
      </w:rPr>
    </w:lvl>
  </w:abstractNum>
  <w:abstractNum w:abstractNumId="7">
    <w:nsid w:val="DBA8CCB8"/>
    <w:multiLevelType w:val="singleLevel"/>
    <w:tmpl w:val="DBA8CCB8"/>
    <w:lvl w:ilvl="0" w:tentative="0">
      <w:start w:val="1"/>
      <w:numFmt w:val="decimal"/>
      <w:suff w:val="nothing"/>
      <w:lvlText w:val="%1．"/>
      <w:lvlJc w:val="left"/>
      <w:pPr>
        <w:ind w:left="0" w:firstLine="400"/>
      </w:pPr>
      <w:rPr>
        <w:rFonts w:hint="default"/>
      </w:rPr>
    </w:lvl>
  </w:abstractNum>
  <w:abstractNum w:abstractNumId="8">
    <w:nsid w:val="2E66C06F"/>
    <w:multiLevelType w:val="singleLevel"/>
    <w:tmpl w:val="2E66C06F"/>
    <w:lvl w:ilvl="0" w:tentative="0">
      <w:start w:val="1"/>
      <w:numFmt w:val="decimal"/>
      <w:lvlText w:val="(%1)"/>
      <w:lvlJc w:val="left"/>
      <w:pPr>
        <w:ind w:left="425" w:hanging="425"/>
      </w:pPr>
      <w:rPr>
        <w:rFonts w:hint="default"/>
      </w:rPr>
    </w:lvl>
  </w:abstractNum>
  <w:abstractNum w:abstractNumId="9">
    <w:nsid w:val="38DD6C64"/>
    <w:multiLevelType w:val="singleLevel"/>
    <w:tmpl w:val="38DD6C64"/>
    <w:lvl w:ilvl="0" w:tentative="0">
      <w:start w:val="1"/>
      <w:numFmt w:val="decimal"/>
      <w:suff w:val="nothing"/>
      <w:lvlText w:val="%1．"/>
      <w:lvlJc w:val="left"/>
      <w:pPr>
        <w:ind w:left="0" w:firstLine="400"/>
      </w:pPr>
      <w:rPr>
        <w:rFonts w:hint="default"/>
      </w:rPr>
    </w:lvl>
  </w:abstractNum>
  <w:abstractNum w:abstractNumId="10">
    <w:nsid w:val="51B77CB0"/>
    <w:multiLevelType w:val="singleLevel"/>
    <w:tmpl w:val="51B77CB0"/>
    <w:lvl w:ilvl="0" w:tentative="0">
      <w:start w:val="1"/>
      <w:numFmt w:val="decimal"/>
      <w:suff w:val="nothing"/>
      <w:lvlText w:val="%1．"/>
      <w:lvlJc w:val="left"/>
      <w:pPr>
        <w:ind w:left="0" w:firstLine="400"/>
      </w:pPr>
      <w:rPr>
        <w:rFonts w:hint="default"/>
      </w:rPr>
    </w:lvl>
  </w:abstractNum>
  <w:num w:numId="1">
    <w:abstractNumId w:val="5"/>
  </w:num>
  <w:num w:numId="2">
    <w:abstractNumId w:val="1"/>
  </w:num>
  <w:num w:numId="3">
    <w:abstractNumId w:val="4"/>
  </w:num>
  <w:num w:numId="4">
    <w:abstractNumId w:val="8"/>
  </w:num>
  <w:num w:numId="5">
    <w:abstractNumId w:val="2"/>
  </w:num>
  <w:num w:numId="6">
    <w:abstractNumId w:val="10"/>
  </w:num>
  <w:num w:numId="7">
    <w:abstractNumId w:val="3"/>
  </w:num>
  <w:num w:numId="8">
    <w:abstractNumId w:val="7"/>
  </w:num>
  <w:num w:numId="9">
    <w:abstractNumId w:val="6"/>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1A636BA3"/>
    <w:rsid w:val="1A636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
    <w:qFormat/>
    <w:uiPriority w:val="0"/>
    <w:pPr>
      <w:keepNext/>
      <w:keepLines/>
      <w:spacing w:before="340" w:beforeLines="0" w:after="330" w:afterLines="0" w:line="578" w:lineRule="auto"/>
      <w:outlineLvl w:val="0"/>
    </w:pPr>
    <w:rPr>
      <w:b/>
      <w:bCs/>
      <w:kern w:val="44"/>
      <w:sz w:val="44"/>
      <w:szCs w:val="44"/>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7">
    <w:name w:val="标题 1 Char"/>
    <w:basedOn w:val="6"/>
    <w:link w:val="3"/>
    <w:qFormat/>
    <w:locked/>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2024-06-26T03:09:00Z</dcterms:created>
  <dc:creator>高杨</dc:creator>
  <cp:lastModifiedBy>高杨</cp:lastModifiedBy>
  <dcterms:modified xsi:type="dcterms:W3CDTF">2024-06-26T03:10:00Z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4EA3C4ED794D4D04A084169375FDA27A_11</vt:lpwstr>
  </property>
</Properties>
</file>