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left"/>
        <w:rPr>
          <w:rFonts w:hint="eastAsia" w:ascii="宋体" w:hAnsi="宋体"/>
          <w:b/>
          <w:bCs/>
          <w:sz w:val="28"/>
          <w:szCs w:val="28"/>
          <w:lang w:val="en-US" w:eastAsia="zh-CN"/>
        </w:rPr>
      </w:pPr>
      <w:r>
        <w:rPr>
          <w:rFonts w:hint="eastAsia" w:ascii="宋体" w:hAnsi="宋体"/>
          <w:b/>
          <w:bCs/>
          <w:sz w:val="28"/>
          <w:szCs w:val="28"/>
          <w:lang w:val="en-US" w:eastAsia="zh-CN"/>
        </w:rPr>
        <w:t>马鞍山市人民医院东院急诊吊塔采购安装项目参数</w:t>
      </w:r>
    </w:p>
    <w:p>
      <w:pPr>
        <w:spacing w:beforeLines="0" w:afterLines="0"/>
        <w:jc w:val="left"/>
        <w:rPr>
          <w:rFonts w:hint="eastAsia" w:ascii="宋体" w:hAnsi="宋体" w:eastAsia="宋体"/>
          <w:b/>
          <w:bCs/>
          <w:sz w:val="28"/>
          <w:szCs w:val="28"/>
        </w:rPr>
      </w:pPr>
      <w:r>
        <w:rPr>
          <w:rFonts w:hint="eastAsia" w:ascii="宋体" w:hAnsi="宋体" w:eastAsia="宋体"/>
          <w:b/>
          <w:bCs/>
          <w:sz w:val="28"/>
          <w:szCs w:val="28"/>
        </w:rPr>
        <w:t>1、</w:t>
      </w:r>
      <w:r>
        <w:rPr>
          <w:rFonts w:hint="eastAsia" w:ascii="宋体" w:hAnsi="宋体"/>
          <w:b/>
          <w:bCs/>
          <w:sz w:val="28"/>
          <w:szCs w:val="28"/>
          <w:lang w:val="en-US" w:eastAsia="zh-CN"/>
        </w:rPr>
        <w:t>整体</w:t>
      </w:r>
      <w:r>
        <w:rPr>
          <w:rFonts w:hint="eastAsia" w:ascii="宋体" w:hAnsi="宋体" w:eastAsia="宋体"/>
          <w:b/>
          <w:bCs/>
          <w:sz w:val="28"/>
          <w:szCs w:val="28"/>
        </w:rPr>
        <w:t>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eastAsia" w:ascii="宋体" w:hAnsi="宋体"/>
          <w:sz w:val="24"/>
          <w:szCs w:val="24"/>
          <w:lang w:val="en-US" w:eastAsia="zh-CN"/>
        </w:rPr>
      </w:pPr>
      <w:r>
        <w:rPr>
          <w:rFonts w:hint="eastAsia" w:ascii="微软雅黑" w:hAnsi="微软雅黑" w:eastAsia="微软雅黑" w:cs="微软雅黑"/>
          <w:b w:val="0"/>
          <w:bCs w:val="0"/>
          <w:color w:val="000000"/>
          <w:kern w:val="0"/>
          <w:sz w:val="20"/>
          <w:szCs w:val="20"/>
          <w:lang w:val="en-US" w:eastAsia="zh-CN" w:bidi="ar"/>
        </w:rPr>
        <w:t>适用于急诊抢救大厅，数量：（6台单边吊柱，1台双边吊柱）</w:t>
      </w:r>
    </w:p>
    <w:p>
      <w:pPr>
        <w:spacing w:beforeLines="0" w:afterLines="0"/>
        <w:jc w:val="left"/>
        <w:rPr>
          <w:rFonts w:hint="default" w:ascii="宋体" w:hAnsi="宋体"/>
          <w:b/>
          <w:bCs/>
          <w:sz w:val="28"/>
          <w:szCs w:val="28"/>
          <w:lang w:val="en-US" w:eastAsia="zh-CN"/>
        </w:rPr>
      </w:pPr>
      <w:r>
        <w:rPr>
          <w:rFonts w:hint="eastAsia" w:ascii="宋体" w:hAnsi="宋体"/>
          <w:b/>
          <w:bCs/>
          <w:sz w:val="28"/>
          <w:szCs w:val="28"/>
          <w:lang w:val="en-US" w:eastAsia="zh-CN"/>
        </w:rPr>
        <w:t>2、技术参数</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吊塔表面采用环保粉沫静电喷涂处理，粉沫通过相关标准检测，对人体无危害。</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吊塔外壳涂膜附着力按照国标GB/T9286-2021/ISO2409：2020（参照ISO2409-2020）测试方法，附着力达到最高等级0。（提供检测报告）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吊塔外壳在中性盐雾试验中，应按照国家标准参照ISO9227：2017标准的相关要求进行盐雾试验，评价等级为10级。（提供检测报告）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吊塔主体材料采用高强度6系列（含）以上铝合金，整体全封闭设计，防腐蚀，便于清洁.</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吊塔须采用非焊接式基础架，基础架应能承受不小于1000KG的静止拉力和15KN.M的扭力，4倍拉力测试，并可承受7级强地震（提供检测报告及非焊接式基础架证明）。</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吊塔防护等级不小于IP30，防火等级至少为 UL94-V1 级，以保证使用安全（提供检测报告）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吊塔电源为单相220V电源，要求有专用的电源接地线、相线、中线三线供给。</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吊塔内部采用气电分离式设计，以确保使用安全可靠。</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bCs/>
          <w:color w:val="000000"/>
          <w:kern w:val="0"/>
          <w:sz w:val="36"/>
          <w:szCs w:val="36"/>
          <w:lang w:val="en-US" w:eastAsia="zh-CN" w:bidi="ar"/>
        </w:rPr>
        <w:t>★</w:t>
      </w:r>
      <w:r>
        <w:rPr>
          <w:rFonts w:hint="eastAsia" w:ascii="微软雅黑" w:hAnsi="微软雅黑" w:eastAsia="微软雅黑" w:cs="微软雅黑"/>
          <w:b w:val="0"/>
          <w:bCs w:val="0"/>
          <w:color w:val="000000"/>
          <w:kern w:val="0"/>
          <w:sz w:val="20"/>
          <w:szCs w:val="20"/>
          <w:lang w:val="en-US" w:eastAsia="zh-CN" w:bidi="ar"/>
        </w:rPr>
        <w:t>气电箱需为上电下气布局，且需具备≥3面同时安装气体终端、电源插座和网络接口（提供布局图）。</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吊塔每层置物板载重为80KG,符合托盘四倍承重安全系数要求（提供检测报告）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吊塔托盘边框必须具有物品防滑落边框设计，拒绝纯平托盘）</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电源模块符合IEC60601或GB9706.1；（提供检测报告）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气体终端符合标准：气体终端符合ENISO 9170-1、ENISO 9170-2标准，气体插座和接头为德式标准，。医用气体软管符合YY/T 0799-2010标准，所有气体管路采用医用气源管路，通过生物相容性认证，确保对人体无毒无公害。（提供对应检测报告）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所有气体管路采用医用气源管路，应具有抗压性及阻燃性，确保经久耐用。（提供检测报告）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 xml:space="preserve"> 吊塔的医用气体管道系统（刹车除外）应能承受320kPa的气压试验，不得出现明显漏气或破裂现象；（提供检测报告）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吊塔内部的医用气体管道系统的气密性应能在承受500（±100）kPa的气压，5min后，压降≤1%。（提供检测报告））</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 xml:space="preserve"> 医用气体正压柔性管内部直径应≥5mm，负压管吸引管道内部直径应≥6mm；</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 xml:space="preserve"> 吊塔需依据ISO 11197 要求，底部具有泄流孔，在模拟氧气泄露流量为1L/min时，腔体内部的氧气浓度</w:t>
      </w:r>
      <w:bookmarkStart w:id="0" w:name="_Hlk146380967"/>
      <w:r>
        <w:rPr>
          <w:rFonts w:hint="eastAsia" w:ascii="微软雅黑" w:hAnsi="微软雅黑" w:eastAsia="微软雅黑" w:cs="微软雅黑"/>
          <w:b w:val="0"/>
          <w:bCs w:val="0"/>
          <w:color w:val="000000"/>
          <w:kern w:val="0"/>
          <w:sz w:val="20"/>
          <w:szCs w:val="20"/>
          <w:lang w:val="en-US" w:eastAsia="zh-CN" w:bidi="ar"/>
        </w:rPr>
        <w:t>≤</w:t>
      </w:r>
      <w:bookmarkEnd w:id="0"/>
      <w:r>
        <w:rPr>
          <w:rFonts w:hint="eastAsia" w:ascii="微软雅黑" w:hAnsi="微软雅黑" w:eastAsia="微软雅黑" w:cs="微软雅黑"/>
          <w:b w:val="0"/>
          <w:bCs w:val="0"/>
          <w:color w:val="000000"/>
          <w:kern w:val="0"/>
          <w:sz w:val="20"/>
          <w:szCs w:val="20"/>
          <w:lang w:val="en-US" w:eastAsia="zh-CN" w:bidi="ar"/>
        </w:rPr>
        <w:t>25%。（提供检测报告）</w:t>
      </w:r>
    </w:p>
    <w:p>
      <w:pPr>
        <w:spacing w:beforeLines="0" w:afterLines="0"/>
        <w:jc w:val="left"/>
        <w:rPr>
          <w:rFonts w:hint="eastAsia" w:ascii="宋体" w:hAnsi="宋体" w:eastAsia="宋体"/>
          <w:b/>
          <w:bCs/>
          <w:sz w:val="28"/>
          <w:szCs w:val="28"/>
          <w:lang w:val="en-US" w:eastAsia="zh-CN"/>
        </w:rPr>
      </w:pPr>
      <w:r>
        <w:rPr>
          <w:rFonts w:hint="eastAsia" w:ascii="宋体" w:hAnsi="宋体"/>
          <w:b/>
          <w:bCs/>
          <w:sz w:val="28"/>
          <w:szCs w:val="28"/>
          <w:lang w:val="en-US" w:eastAsia="zh-CN"/>
        </w:rPr>
        <w:t>6台单边吊柱，配置需求</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吊臂、气电箱旋转角度≥340°</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bCs/>
          <w:color w:val="000000"/>
          <w:kern w:val="0"/>
          <w:sz w:val="36"/>
          <w:szCs w:val="36"/>
          <w:lang w:val="en-US" w:eastAsia="zh-CN" w:bidi="ar"/>
        </w:rPr>
        <w:t>★</w:t>
      </w:r>
      <w:r>
        <w:rPr>
          <w:rFonts w:hint="eastAsia" w:ascii="微软雅黑" w:hAnsi="微软雅黑" w:eastAsia="微软雅黑" w:cs="微软雅黑"/>
          <w:b w:val="0"/>
          <w:bCs w:val="0"/>
          <w:color w:val="000000"/>
          <w:kern w:val="0"/>
          <w:sz w:val="20"/>
          <w:szCs w:val="20"/>
          <w:lang w:val="en-US" w:eastAsia="zh-CN" w:bidi="ar"/>
        </w:rPr>
        <w:t>气电箱长度≥1300mm</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净负载能力≥300Kg（提供检测报告）</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仪器平台:2层 (尺寸≥500×480mm) 高度可调，防撞设计。仪器平台配有不锈钢边轨,以方便固定小型的医疗仪器设备，边轨最大承载力≥10KG</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提供自吸式抽屉：1组，承重≥15KG</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高度可调不锈钢输液架1个。</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气体终端：5组（正面：氧气1个，空气1个，负压吸引1个）（右侧面：氧气1个，负压吸引1个）</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电源插座：12组（正面6组，右侧面3组，背面3组）</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接地端子：2组</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网络接口：2组（背面）</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lang w:val="en-US" w:eastAsia="zh-CN"/>
        </w:rPr>
      </w:pPr>
      <w:r>
        <w:rPr>
          <w:rFonts w:hint="eastAsia" w:ascii="微软雅黑" w:hAnsi="微软雅黑" w:eastAsia="微软雅黑" w:cs="微软雅黑"/>
          <w:b w:val="0"/>
          <w:bCs w:val="0"/>
          <w:color w:val="000000"/>
          <w:kern w:val="0"/>
          <w:sz w:val="20"/>
          <w:szCs w:val="20"/>
          <w:lang w:val="en-US" w:eastAsia="zh-CN" w:bidi="ar"/>
        </w:rPr>
        <w:t>不锈钢储物篮：≥1 套</w:t>
      </w:r>
    </w:p>
    <w:p>
      <w:pPr>
        <w:spacing w:beforeLines="0" w:afterLines="0"/>
        <w:jc w:val="left"/>
        <w:rPr>
          <w:rFonts w:hint="eastAsia" w:ascii="宋体" w:hAnsi="宋体" w:eastAsia="宋体" w:cstheme="minorBidi"/>
          <w:b/>
          <w:bCs/>
          <w:sz w:val="28"/>
          <w:szCs w:val="28"/>
          <w:lang w:val="en-US" w:eastAsia="zh-CN"/>
        </w:rPr>
      </w:pPr>
      <w:r>
        <w:rPr>
          <w:rFonts w:hint="eastAsia" w:ascii="宋体" w:hAnsi="宋体" w:eastAsia="宋体" w:cstheme="minorBidi"/>
          <w:b/>
          <w:bCs/>
          <w:sz w:val="28"/>
          <w:szCs w:val="28"/>
          <w:lang w:val="en-US" w:eastAsia="zh-CN"/>
        </w:rPr>
        <w:t>1台双边吊柱，配置需求</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吊臂、气电箱旋转角度≥340°</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bCs/>
          <w:color w:val="000000"/>
          <w:kern w:val="0"/>
          <w:sz w:val="36"/>
          <w:szCs w:val="36"/>
          <w:lang w:val="en-US" w:eastAsia="zh-CN" w:bidi="ar"/>
        </w:rPr>
        <w:t>★</w:t>
      </w:r>
      <w:r>
        <w:rPr>
          <w:rFonts w:hint="eastAsia" w:ascii="微软雅黑" w:hAnsi="微软雅黑" w:eastAsia="微软雅黑" w:cs="微软雅黑"/>
          <w:b w:val="0"/>
          <w:bCs w:val="0"/>
          <w:color w:val="000000"/>
          <w:kern w:val="0"/>
          <w:sz w:val="20"/>
          <w:szCs w:val="20"/>
          <w:lang w:val="en-US" w:eastAsia="zh-CN" w:bidi="ar"/>
        </w:rPr>
        <w:t>气电箱长度≥1300mm</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净负载能力≥300Kg（提供检测报告）</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仪器平台:6层 (尺寸≥500×480mm) 高度可调，防撞设计。仪器平台配有不锈钢边轨,以方便固定小型的医疗仪器设备，边轨最大承载力≥10KG</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提供自吸式抽屉：1组，承重≥15KG</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高度可调不锈钢输液架：2个。</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气体终端：6组（正面：氧气2个）（背面：空气2个，负压吸引2个，）</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电源插座：10组（正面：4组）（背面：6组）</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接地端子：2组</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default" w:ascii="微软雅黑" w:hAnsi="微软雅黑" w:eastAsia="微软雅黑" w:cs="微软雅黑"/>
          <w:b w:val="0"/>
          <w:bCs w:val="0"/>
          <w:color w:val="000000"/>
          <w:kern w:val="0"/>
          <w:sz w:val="20"/>
          <w:szCs w:val="20"/>
          <w:lang w:val="en-US" w:eastAsia="zh-CN" w:bidi="ar"/>
        </w:rPr>
      </w:pPr>
      <w:r>
        <w:rPr>
          <w:rFonts w:hint="eastAsia" w:ascii="微软雅黑" w:hAnsi="微软雅黑" w:eastAsia="微软雅黑" w:cs="微软雅黑"/>
          <w:b w:val="0"/>
          <w:bCs w:val="0"/>
          <w:color w:val="000000"/>
          <w:kern w:val="0"/>
          <w:sz w:val="20"/>
          <w:szCs w:val="20"/>
          <w:lang w:val="en-US" w:eastAsia="zh-CN" w:bidi="ar"/>
        </w:rPr>
        <w:t>网络接口：2组（背面）</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5" w:leftChars="0" w:hanging="425" w:firstLineChars="0"/>
        <w:jc w:val="both"/>
        <w:textAlignment w:val="auto"/>
        <w:rPr>
          <w:rFonts w:hint="eastAsia" w:ascii="微软雅黑" w:hAnsi="微软雅黑" w:eastAsia="微软雅黑" w:cs="微软雅黑"/>
          <w:b w:val="0"/>
          <w:bCs w:val="0"/>
          <w:color w:val="000000"/>
          <w:kern w:val="0"/>
          <w:sz w:val="20"/>
          <w:szCs w:val="20"/>
          <w:lang w:val="en-US" w:eastAsia="zh-CN" w:bidi="ar"/>
        </w:rPr>
        <w:sectPr>
          <w:pgSz w:w="12240" w:h="15840"/>
          <w:pgMar w:top="1440" w:right="1800" w:bottom="1440" w:left="1800" w:header="720" w:footer="720" w:gutter="0"/>
          <w:lnNumType w:countBy="0" w:distance="360"/>
          <w:cols w:space="720" w:num="1"/>
          <w:docGrid w:type="lines" w:linePitch="312" w:charSpace="0"/>
        </w:sectPr>
      </w:pPr>
      <w:r>
        <w:rPr>
          <w:rFonts w:hint="eastAsia" w:ascii="微软雅黑" w:hAnsi="微软雅黑" w:eastAsia="微软雅黑" w:cs="微软雅黑"/>
          <w:b w:val="0"/>
          <w:bCs w:val="0"/>
          <w:color w:val="000000"/>
          <w:kern w:val="0"/>
          <w:sz w:val="20"/>
          <w:szCs w:val="20"/>
          <w:lang w:val="en-US" w:eastAsia="zh-CN" w:bidi="ar"/>
        </w:rPr>
        <w:t xml:space="preserve">不锈钢储物篮：≥2套 </w:t>
      </w:r>
    </w:p>
    <w:p>
      <w:pPr>
        <w:numPr>
          <w:ilvl w:val="0"/>
          <w:numId w:val="0"/>
        </w:numPr>
        <w:tabs>
          <w:tab w:val="left" w:pos="717"/>
        </w:tabs>
        <w:ind w:leftChars="0"/>
        <w:jc w:val="left"/>
        <w:rPr>
          <w:rFonts w:hint="eastAsia" w:ascii="宋体" w:hAnsi="宋体" w:cs="宋体"/>
          <w:b/>
          <w:bCs/>
          <w:sz w:val="28"/>
          <w:szCs w:val="21"/>
          <w:lang w:val="en-US" w:eastAsia="zh-CN"/>
        </w:rPr>
      </w:pPr>
      <w:r>
        <w:rPr>
          <w:rFonts w:hint="eastAsia" w:ascii="宋体" w:hAnsi="宋体" w:cs="宋体"/>
          <w:b/>
          <w:bCs/>
          <w:sz w:val="28"/>
          <w:szCs w:val="21"/>
          <w:lang w:val="en-US" w:eastAsia="zh-CN"/>
        </w:rPr>
        <w:t>吊柱布局示意图（仅供参考）</w:t>
      </w:r>
    </w:p>
    <w:p>
      <w:pPr>
        <w:numPr>
          <w:ilvl w:val="0"/>
          <w:numId w:val="0"/>
        </w:numPr>
        <w:tabs>
          <w:tab w:val="left" w:pos="717"/>
        </w:tabs>
        <w:ind w:leftChars="0"/>
        <w:jc w:val="left"/>
        <w:rPr>
          <w:rFonts w:hint="eastAsia" w:ascii="宋体" w:hAnsi="宋体" w:cs="宋体"/>
          <w:sz w:val="24"/>
          <w:lang w:val="en-US" w:eastAsia="zh-CN"/>
        </w:rPr>
      </w:pPr>
    </w:p>
    <w:p>
      <w:pPr>
        <w:numPr>
          <w:ilvl w:val="0"/>
          <w:numId w:val="0"/>
        </w:numPr>
        <w:tabs>
          <w:tab w:val="left" w:pos="717"/>
        </w:tabs>
        <w:ind w:leftChars="0"/>
        <w:jc w:val="left"/>
        <w:rPr>
          <w:rFonts w:hint="eastAsia" w:ascii="宋体" w:hAnsi="宋体" w:cs="宋体"/>
          <w:sz w:val="24"/>
          <w:lang w:val="en-US" w:eastAsia="zh-CN"/>
        </w:rPr>
        <w:sectPr>
          <w:pgSz w:w="12240" w:h="15840"/>
          <w:pgMar w:top="1440" w:right="1800" w:bottom="1440" w:left="1800" w:header="720" w:footer="720" w:gutter="0"/>
          <w:lnNumType w:countBy="0" w:distance="360"/>
          <w:cols w:space="720" w:num="1"/>
          <w:docGrid w:type="lines" w:linePitch="312" w:charSpace="0"/>
        </w:sectPr>
      </w:pPr>
      <w:r>
        <w:rPr>
          <w:rFonts w:hint="eastAsia" w:ascii="宋体" w:hAnsi="宋体" w:cs="宋体"/>
          <w:sz w:val="24"/>
          <w:lang w:val="en-US" w:eastAsia="zh-CN"/>
        </w:rPr>
        <w:drawing>
          <wp:inline distT="0" distB="0" distL="114300" distR="114300">
            <wp:extent cx="2120900" cy="4603750"/>
            <wp:effectExtent l="0" t="0" r="12700" b="6350"/>
            <wp:docPr id="1" name="图片 1" descr="06e3e9123726e49e1a0045ff1b8fa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6e3e9123726e49e1a0045ff1b8fad8"/>
                    <pic:cNvPicPr>
                      <a:picLocks noChangeAspect="1"/>
                    </pic:cNvPicPr>
                  </pic:nvPicPr>
                  <pic:blipFill>
                    <a:blip r:embed="rId4"/>
                    <a:stretch>
                      <a:fillRect/>
                    </a:stretch>
                  </pic:blipFill>
                  <pic:spPr>
                    <a:xfrm>
                      <a:off x="0" y="0"/>
                      <a:ext cx="2120900" cy="4603750"/>
                    </a:xfrm>
                    <a:prstGeom prst="rect">
                      <a:avLst/>
                    </a:prstGeom>
                  </pic:spPr>
                </pic:pic>
              </a:graphicData>
            </a:graphic>
          </wp:inline>
        </w:drawing>
      </w:r>
      <w:r>
        <w:rPr>
          <w:rFonts w:hint="eastAsia" w:ascii="宋体" w:hAnsi="宋体" w:cs="宋体"/>
          <w:sz w:val="24"/>
          <w:lang w:val="en-US" w:eastAsia="zh-CN"/>
        </w:rPr>
        <w:drawing>
          <wp:inline distT="0" distB="0" distL="114300" distR="114300">
            <wp:extent cx="4703445" cy="2646045"/>
            <wp:effectExtent l="0" t="0" r="1905" b="1905"/>
            <wp:docPr id="2" name="图片 2" descr="44d5f80558678670a017fab253f4d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4d5f80558678670a017fab253f4d90"/>
                    <pic:cNvPicPr>
                      <a:picLocks noChangeAspect="1"/>
                    </pic:cNvPicPr>
                  </pic:nvPicPr>
                  <pic:blipFill>
                    <a:blip r:embed="rId5"/>
                    <a:stretch>
                      <a:fillRect/>
                    </a:stretch>
                  </pic:blipFill>
                  <pic:spPr>
                    <a:xfrm>
                      <a:off x="0" y="0"/>
                      <a:ext cx="4703445" cy="2646045"/>
                    </a:xfrm>
                    <a:prstGeom prst="rect">
                      <a:avLst/>
                    </a:prstGeom>
                  </pic:spPr>
                </pic:pic>
              </a:graphicData>
            </a:graphic>
          </wp:inline>
        </w:drawing>
      </w:r>
    </w:p>
    <w:p>
      <w:pPr>
        <w:jc w:val="center"/>
        <w:rPr>
          <w:rFonts w:hint="eastAsia" w:ascii="宋体" w:hAnsi="宋体"/>
          <w:b/>
          <w:bCs/>
          <w:sz w:val="32"/>
          <w:szCs w:val="32"/>
          <w:lang w:val="en-US" w:eastAsia="zh-CN"/>
        </w:rPr>
      </w:pPr>
      <w:r>
        <w:rPr>
          <w:rFonts w:hint="eastAsia" w:ascii="宋体" w:hAnsi="宋体"/>
          <w:b/>
          <w:bCs/>
          <w:sz w:val="32"/>
          <w:szCs w:val="32"/>
          <w:lang w:val="en-US" w:eastAsia="zh-CN"/>
        </w:rPr>
        <w:t>商务要求</w:t>
      </w:r>
    </w:p>
    <w:p>
      <w:pPr>
        <w:spacing w:beforeLines="0" w:afterLines="0"/>
        <w:jc w:val="left"/>
        <w:rPr>
          <w:rFonts w:hint="eastAsia" w:ascii="宋体" w:hAnsi="宋体" w:eastAsia="宋体"/>
          <w:sz w:val="28"/>
          <w:szCs w:val="24"/>
        </w:rPr>
      </w:pPr>
      <w:r>
        <w:rPr>
          <w:rFonts w:hint="eastAsia" w:ascii="宋体" w:hAnsi="宋体"/>
          <w:sz w:val="28"/>
          <w:szCs w:val="24"/>
          <w:lang w:val="en-US" w:eastAsia="zh-CN"/>
        </w:rPr>
        <w:t>1、</w:t>
      </w:r>
      <w:r>
        <w:rPr>
          <w:rFonts w:hint="eastAsia" w:ascii="宋体" w:hAnsi="宋体" w:eastAsia="宋体"/>
          <w:sz w:val="28"/>
          <w:szCs w:val="24"/>
        </w:rPr>
        <w:t xml:space="preserve"> 中标人负责铺设和连接本项目所有吊塔至楼层主气体管道（氧气、空气、负压）的所有气体管道，相关费用包含在投标总价中。</w:t>
      </w:r>
    </w:p>
    <w:p>
      <w:pPr>
        <w:spacing w:beforeLines="0" w:afterLines="0"/>
        <w:jc w:val="left"/>
        <w:rPr>
          <w:rFonts w:hint="eastAsia" w:ascii="宋体" w:hAnsi="宋体" w:eastAsia="宋体"/>
          <w:sz w:val="28"/>
          <w:szCs w:val="24"/>
        </w:rPr>
      </w:pPr>
      <w:r>
        <w:rPr>
          <w:rFonts w:hint="eastAsia" w:ascii="宋体" w:hAnsi="宋体"/>
          <w:sz w:val="28"/>
          <w:szCs w:val="24"/>
          <w:lang w:val="en-US" w:eastAsia="zh-CN"/>
        </w:rPr>
        <w:t>2、</w:t>
      </w:r>
      <w:r>
        <w:rPr>
          <w:rFonts w:hint="eastAsia" w:ascii="宋体" w:hAnsi="宋体" w:eastAsia="宋体"/>
          <w:sz w:val="28"/>
          <w:szCs w:val="24"/>
        </w:rPr>
        <w:t>中标人负责和连接设本项目所有吊塔至楼层弱电间交换机的六类网线，且在弱电间内预留连接交换机的六类网线（约10 米左右），相关费用包含在投标总价中。</w:t>
      </w:r>
    </w:p>
    <w:p>
      <w:pPr>
        <w:spacing w:beforeLines="0" w:afterLines="0"/>
        <w:jc w:val="left"/>
        <w:rPr>
          <w:rFonts w:hint="eastAsia"/>
        </w:rPr>
      </w:pPr>
      <w:r>
        <w:rPr>
          <w:rFonts w:hint="eastAsia" w:ascii="宋体" w:hAnsi="宋体"/>
          <w:sz w:val="28"/>
          <w:szCs w:val="24"/>
          <w:lang w:val="en-US" w:eastAsia="zh-CN"/>
        </w:rPr>
        <w:t>3、</w:t>
      </w:r>
      <w:r>
        <w:rPr>
          <w:rFonts w:hint="eastAsia" w:ascii="宋体" w:hAnsi="宋体" w:eastAsia="宋体"/>
          <w:sz w:val="28"/>
          <w:szCs w:val="24"/>
        </w:rPr>
        <w:t>中标人负责和连接设本项目所有</w:t>
      </w:r>
      <w:r>
        <w:rPr>
          <w:rFonts w:hint="eastAsia" w:ascii="宋体" w:hAnsi="宋体"/>
          <w:sz w:val="28"/>
          <w:szCs w:val="24"/>
          <w:lang w:val="en-US" w:eastAsia="zh-CN"/>
        </w:rPr>
        <w:t>强电线</w:t>
      </w:r>
      <w:r>
        <w:rPr>
          <w:rFonts w:hint="eastAsia" w:ascii="宋体" w:hAnsi="宋体" w:eastAsia="宋体"/>
          <w:sz w:val="28"/>
          <w:szCs w:val="24"/>
        </w:rPr>
        <w:t>，相关费用包含在投标总价中。</w:t>
      </w:r>
    </w:p>
    <w:p>
      <w:pPr>
        <w:spacing w:beforeLines="0" w:afterLines="0"/>
        <w:jc w:val="left"/>
        <w:rPr>
          <w:rFonts w:hint="eastAsia" w:ascii="宋体" w:hAnsi="宋体" w:eastAsia="宋体"/>
          <w:sz w:val="28"/>
          <w:szCs w:val="24"/>
        </w:rPr>
      </w:pPr>
      <w:r>
        <w:rPr>
          <w:rFonts w:hint="eastAsia" w:ascii="宋体" w:hAnsi="宋体"/>
          <w:sz w:val="28"/>
          <w:szCs w:val="24"/>
          <w:lang w:val="en-US" w:eastAsia="zh-CN"/>
        </w:rPr>
        <w:t>4、</w:t>
      </w:r>
      <w:r>
        <w:rPr>
          <w:rFonts w:hint="eastAsia" w:ascii="宋体" w:hAnsi="宋体" w:eastAsia="宋体"/>
          <w:sz w:val="28"/>
          <w:szCs w:val="24"/>
        </w:rPr>
        <w:t xml:space="preserve"> 合同签订后供货前，中标人须根据现场实际场地情况，出具吊塔（功能柱）布局图及样式图供采购人核验，否则采购人有权解除合同。</w:t>
      </w:r>
    </w:p>
    <w:p>
      <w:pPr>
        <w:spacing w:beforeLines="0" w:afterLines="0"/>
        <w:jc w:val="left"/>
        <w:rPr>
          <w:rFonts w:hint="eastAsia" w:ascii="宋体" w:hAnsi="宋体" w:eastAsia="宋体"/>
          <w:sz w:val="28"/>
          <w:szCs w:val="24"/>
        </w:rPr>
      </w:pPr>
      <w:r>
        <w:rPr>
          <w:rFonts w:hint="eastAsia" w:ascii="宋体" w:hAnsi="宋体"/>
          <w:sz w:val="28"/>
          <w:szCs w:val="24"/>
          <w:lang w:val="en-US" w:eastAsia="zh-CN"/>
        </w:rPr>
        <w:t>5、</w:t>
      </w:r>
      <w:r>
        <w:rPr>
          <w:rFonts w:hint="eastAsia" w:ascii="宋体" w:hAnsi="宋体" w:eastAsia="宋体"/>
          <w:sz w:val="28"/>
          <w:szCs w:val="24"/>
        </w:rPr>
        <w:t xml:space="preserve"> 合同签订后供货前，中标人须提供吊塔（功能柱）的气体管路通过生物相容性认证的证书扫描件供采购人核验，否则采购人有权解除合同。</w:t>
      </w:r>
    </w:p>
    <w:p>
      <w:pPr>
        <w:pStyle w:val="2"/>
        <w:rPr>
          <w:rFonts w:hint="default" w:eastAsia="宋体"/>
          <w:lang w:val="en-US" w:eastAsia="zh-CN"/>
        </w:rPr>
      </w:pPr>
      <w:r>
        <w:rPr>
          <w:rFonts w:hint="eastAsia"/>
          <w:sz w:val="28"/>
          <w:szCs w:val="24"/>
          <w:lang w:val="en-US" w:eastAsia="zh-CN"/>
        </w:rPr>
        <w:t>6、本次采购吊塔的气体终端的标准须于马鞍山市人民医院东院现有的气体终端标准一致。</w:t>
      </w:r>
    </w:p>
    <w:p>
      <w:pPr>
        <w:pStyle w:val="2"/>
        <w:rPr>
          <w:rFonts w:hint="eastAsia"/>
          <w:sz w:val="28"/>
          <w:szCs w:val="24"/>
          <w:lang w:val="en-US" w:eastAsia="zh-CN"/>
        </w:rPr>
      </w:pPr>
      <w:r>
        <w:rPr>
          <w:rFonts w:hint="eastAsia"/>
          <w:sz w:val="28"/>
          <w:szCs w:val="24"/>
          <w:lang w:val="en-US" w:eastAsia="zh-CN"/>
        </w:rPr>
        <w:t>7、本项目预算28.3万元，质保期2年。付款方式为货物安装完毕并调试完成后支付90%货款，质保期结束后支付尾款。</w:t>
      </w:r>
    </w:p>
    <w:p>
      <w:pPr>
        <w:pStyle w:val="2"/>
        <w:rPr>
          <w:rFonts w:hint="eastAsia"/>
          <w:sz w:val="28"/>
          <w:szCs w:val="24"/>
          <w:lang w:val="en-US" w:eastAsia="zh-CN"/>
        </w:rPr>
      </w:pPr>
      <w:r>
        <w:rPr>
          <w:rFonts w:hint="eastAsia"/>
          <w:sz w:val="28"/>
          <w:szCs w:val="24"/>
          <w:lang w:val="en-US" w:eastAsia="zh-CN"/>
        </w:rPr>
        <w:t>8、该项目资质要求参考本院同类型吊塔采购项目制定。</w:t>
      </w:r>
    </w:p>
    <w:p>
      <w:pPr>
        <w:pStyle w:val="2"/>
        <w:rPr>
          <w:rFonts w:hint="default" w:eastAsia="宋体"/>
          <w:sz w:val="28"/>
          <w:szCs w:val="24"/>
          <w:lang w:val="en-US" w:eastAsia="zh-CN"/>
        </w:rPr>
      </w:pPr>
      <w:r>
        <w:rPr>
          <w:rFonts w:hint="eastAsia"/>
          <w:sz w:val="28"/>
          <w:szCs w:val="24"/>
          <w:lang w:val="en-US" w:eastAsia="zh-CN"/>
        </w:rPr>
        <w:t>9、供货期不超过45天。</w:t>
      </w:r>
      <w:bookmarkStart w:id="1" w:name="_GoBack"/>
      <w:bookmarkEnd w:id="1"/>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6119D2"/>
    <w:multiLevelType w:val="singleLevel"/>
    <w:tmpl w:val="B96119D2"/>
    <w:lvl w:ilvl="0" w:tentative="0">
      <w:start w:val="1"/>
      <w:numFmt w:val="decimal"/>
      <w:lvlText w:val="%1."/>
      <w:lvlJc w:val="left"/>
      <w:pPr>
        <w:ind w:left="425" w:hanging="425"/>
      </w:pPr>
      <w:rPr>
        <w:rFonts w:hint="default"/>
      </w:rPr>
    </w:lvl>
  </w:abstractNum>
  <w:abstractNum w:abstractNumId="1">
    <w:nsid w:val="DEBFB351"/>
    <w:multiLevelType w:val="singleLevel"/>
    <w:tmpl w:val="DEBFB351"/>
    <w:lvl w:ilvl="0" w:tentative="0">
      <w:start w:val="1"/>
      <w:numFmt w:val="decimal"/>
      <w:lvlText w:val="%1."/>
      <w:lvlJc w:val="left"/>
      <w:pPr>
        <w:ind w:left="425" w:hanging="425"/>
      </w:pPr>
      <w:rPr>
        <w:rFonts w:hint="default"/>
      </w:rPr>
    </w:lvl>
  </w:abstractNum>
  <w:abstractNum w:abstractNumId="2">
    <w:nsid w:val="F1B3A810"/>
    <w:multiLevelType w:val="singleLevel"/>
    <w:tmpl w:val="F1B3A810"/>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wNTAyNjQ1NzVhZmE1Yjg5MWMyNGQwOTZkY2JkODgifQ=="/>
  </w:docVars>
  <w:rsids>
    <w:rsidRoot w:val="00172A27"/>
    <w:rsid w:val="138D2C53"/>
    <w:rsid w:val="25F230B0"/>
    <w:rsid w:val="2DE33976"/>
    <w:rsid w:val="359F5B64"/>
    <w:rsid w:val="3CE23523"/>
    <w:rsid w:val="4B84756E"/>
    <w:rsid w:val="510860CF"/>
    <w:rsid w:val="62530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jc w:val="both"/>
    </w:pPr>
    <w:rPr>
      <w:rFonts w:eastAsia="宋体" w:asciiTheme="minorHAnsi" w:hAnsiTheme="minorHAnsi" w:cstheme="minorBidi"/>
      <w:kern w:val="2"/>
      <w:sz w:val="21"/>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2"/>
    <w:basedOn w:val="1"/>
    <w:qFormat/>
    <w:uiPriority w:val="0"/>
    <w:pPr>
      <w:widowControl/>
      <w:snapToGrid w:val="0"/>
      <w:spacing w:before="50" w:afterLines="50" w:line="400" w:lineRule="atLeast"/>
      <w:jc w:val="left"/>
    </w:pPr>
    <w:rPr>
      <w:rFonts w:ascii="宋体" w:hAnsi="宋体"/>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1712</Words>
  <Characters>1915</Characters>
  <Lines>0</Lines>
  <Paragraphs>0</Paragraphs>
  <TotalTime>31</TotalTime>
  <ScaleCrop>false</ScaleCrop>
  <LinksUpToDate>false</LinksUpToDate>
  <CharactersWithSpaces>1935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2024-04-26T06:43:00Z</dcterms:created>
  <dc:creator>Wiu</dc:creator>
  <cp:lastModifiedBy>木日勿之大</cp:lastModifiedBy>
  <cp:lastPrinted>2024-06-19T03:44:00Z</cp:lastPrinted>
  <dcterms:modified xsi:type="dcterms:W3CDTF">2024-07-01T03:57:01Z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2BB9517E27B04B588ED7A23B3B445D98_13</vt:lpwstr>
  </property>
</Properties>
</file>