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jc w:val="center"/>
        <w:rPr>
          <w:rStyle w:val="7"/>
          <w:rFonts w:hint="eastAsia" w:ascii="Times New Roman" w:hAnsi="Times New Roman" w:eastAsia="宋体" w:cs="Times New Roman"/>
          <w:b/>
          <w:bCs/>
          <w:sz w:val="30"/>
          <w:szCs w:val="30"/>
          <w:lang w:val="en-US" w:eastAsia="zh-CN" w:bidi="ar-SA"/>
        </w:rPr>
      </w:pPr>
      <w:r>
        <w:rPr>
          <w:rStyle w:val="7"/>
          <w:rFonts w:hint="eastAsia" w:ascii="Times New Roman" w:hAnsi="Times New Roman" w:eastAsia="宋体" w:cs="Times New Roman"/>
          <w:b/>
          <w:bCs/>
          <w:sz w:val="30"/>
          <w:szCs w:val="30"/>
          <w:lang w:val="en-US" w:eastAsia="zh-CN" w:bidi="ar-SA"/>
        </w:rPr>
        <w:t>采购内容及相关要求</w:t>
      </w:r>
    </w:p>
    <w:p>
      <w:pPr>
        <w:pStyle w:val="4"/>
        <w:spacing w:before="52" w:line="222" w:lineRule="auto"/>
        <w:ind w:firstLine="556" w:firstLineChars="200"/>
        <w:rPr>
          <w:rFonts w:hint="eastAsia" w:ascii="宋体" w:hAnsi="宋体" w:eastAsia="宋体" w:cs="宋体"/>
          <w:b w:val="0"/>
          <w:bCs/>
          <w:spacing w:val="-1"/>
          <w:sz w:val="28"/>
          <w:szCs w:val="28"/>
          <w:highlight w:val="none"/>
        </w:rPr>
      </w:pPr>
      <w:r>
        <w:rPr>
          <w:rFonts w:hint="eastAsia" w:ascii="宋体" w:hAnsi="宋体" w:eastAsia="宋体" w:cs="宋体"/>
          <w:b w:val="0"/>
          <w:bCs/>
          <w:spacing w:val="-1"/>
          <w:sz w:val="28"/>
          <w:szCs w:val="28"/>
          <w:lang w:val="en-US" w:eastAsia="zh-CN"/>
        </w:rPr>
        <w:t>一、</w:t>
      </w:r>
      <w:r>
        <w:rPr>
          <w:rFonts w:hint="eastAsia" w:ascii="宋体" w:hAnsi="宋体" w:eastAsia="宋体" w:cs="宋体"/>
          <w:b w:val="0"/>
          <w:bCs/>
          <w:spacing w:val="-1"/>
          <w:sz w:val="28"/>
          <w:szCs w:val="28"/>
        </w:rPr>
        <w:t>服务期：3年。</w:t>
      </w:r>
      <w:r>
        <w:rPr>
          <w:rFonts w:hint="eastAsia" w:ascii="宋体" w:hAnsi="宋体" w:eastAsia="宋体" w:cs="宋体"/>
          <w:sz w:val="28"/>
          <w:szCs w:val="28"/>
          <w:highlight w:val="none"/>
        </w:rPr>
        <w:t>合同采用“1+1+1”模式，每年一签。</w:t>
      </w:r>
      <w:r>
        <w:rPr>
          <w:rFonts w:hint="eastAsia" w:ascii="宋体" w:hAnsi="宋体" w:eastAsia="宋体" w:cs="宋体"/>
          <w:kern w:val="2"/>
          <w:sz w:val="28"/>
          <w:szCs w:val="28"/>
          <w:highlight w:val="none"/>
          <w:lang w:val="en-US" w:eastAsia="zh-CN" w:bidi="ar-SA"/>
        </w:rPr>
        <w:t>（即合同到期后，经采购人考核合格后，可续签下一年合同）</w:t>
      </w:r>
    </w:p>
    <w:p>
      <w:pPr>
        <w:pStyle w:val="4"/>
        <w:spacing w:before="52" w:line="222" w:lineRule="auto"/>
        <w:ind w:firstLine="556" w:firstLineChars="200"/>
        <w:rPr>
          <w:rFonts w:hint="eastAsia" w:ascii="宋体" w:hAnsi="宋体" w:eastAsia="宋体" w:cs="宋体"/>
          <w:b w:val="0"/>
          <w:bCs/>
          <w:sz w:val="28"/>
          <w:szCs w:val="28"/>
        </w:rPr>
      </w:pPr>
      <w:r>
        <w:rPr>
          <w:rFonts w:hint="eastAsia" w:ascii="宋体" w:hAnsi="宋体" w:eastAsia="宋体" w:cs="宋体"/>
          <w:b w:val="0"/>
          <w:bCs/>
          <w:spacing w:val="-1"/>
          <w:sz w:val="28"/>
          <w:szCs w:val="28"/>
          <w:lang w:val="en-US" w:eastAsia="zh-CN"/>
        </w:rPr>
        <w:t>二、</w:t>
      </w:r>
      <w:r>
        <w:rPr>
          <w:rFonts w:hint="eastAsia" w:ascii="宋体" w:hAnsi="宋体" w:eastAsia="宋体" w:cs="宋体"/>
          <w:b w:val="0"/>
          <w:bCs/>
          <w:spacing w:val="-8"/>
          <w:sz w:val="28"/>
          <w:szCs w:val="28"/>
        </w:rPr>
        <w:t>服务内容：</w:t>
      </w:r>
    </w:p>
    <w:p>
      <w:pPr>
        <w:ind w:firstLine="544" w:firstLineChars="200"/>
        <w:rPr>
          <w:rFonts w:hint="eastAsia" w:ascii="宋体" w:hAnsi="宋体" w:eastAsia="宋体" w:cs="宋体"/>
          <w:b w:val="0"/>
          <w:bCs/>
          <w:spacing w:val="-4"/>
          <w:kern w:val="0"/>
          <w:sz w:val="28"/>
          <w:szCs w:val="28"/>
          <w:lang w:val="en-US" w:eastAsia="zh-CN" w:bidi="ar-SA"/>
        </w:rPr>
      </w:pPr>
      <w:r>
        <w:rPr>
          <w:rFonts w:hint="eastAsia" w:ascii="宋体" w:hAnsi="宋体" w:eastAsia="宋体" w:cs="宋体"/>
          <w:b w:val="0"/>
          <w:bCs/>
          <w:spacing w:val="-4"/>
          <w:kern w:val="0"/>
          <w:sz w:val="28"/>
          <w:szCs w:val="28"/>
          <w:lang w:val="en-US" w:eastAsia="zh-CN" w:bidi="ar-SA"/>
        </w:rPr>
        <w:t>1、入围供应商按甲方要求须轮流对马鞍山市人民医院零星项目进行控制价清单编制、全过程造价咨询服务以及决算审计。</w:t>
      </w:r>
      <w:r>
        <w:rPr>
          <w:rFonts w:hint="eastAsia" w:ascii="宋体" w:hAnsi="宋体" w:eastAsia="宋体" w:cs="宋体"/>
          <w:b w:val="0"/>
          <w:bCs/>
          <w:spacing w:val="-4"/>
          <w:kern w:val="0"/>
          <w:sz w:val="28"/>
          <w:szCs w:val="28"/>
          <w:highlight w:val="yellow"/>
          <w:lang w:val="en-US" w:eastAsia="zh-CN" w:bidi="ar-SA"/>
        </w:rPr>
        <w:t>(按照项目大小轮流分配三家入围供应商进行清单编制及审计服务，并随机抽取项目进行二次审查）</w:t>
      </w:r>
    </w:p>
    <w:p>
      <w:pPr>
        <w:ind w:firstLine="544" w:firstLineChars="200"/>
        <w:rPr>
          <w:rFonts w:hint="eastAsia" w:ascii="宋体" w:hAnsi="宋体" w:eastAsia="宋体" w:cs="宋体"/>
          <w:b w:val="0"/>
          <w:bCs/>
          <w:spacing w:val="-4"/>
          <w:kern w:val="0"/>
          <w:sz w:val="28"/>
          <w:szCs w:val="28"/>
          <w:lang w:val="en-US" w:eastAsia="zh-CN" w:bidi="ar-SA"/>
        </w:rPr>
      </w:pPr>
      <w:r>
        <w:rPr>
          <w:rFonts w:hint="eastAsia" w:ascii="宋体" w:hAnsi="宋体" w:eastAsia="宋体" w:cs="宋体"/>
          <w:b w:val="0"/>
          <w:bCs/>
          <w:spacing w:val="-4"/>
          <w:kern w:val="0"/>
          <w:sz w:val="28"/>
          <w:szCs w:val="28"/>
          <w:lang w:val="en-US" w:eastAsia="zh-CN" w:bidi="ar-SA"/>
        </w:rPr>
        <w:t>2、入围供应商的结算审核结果经委托人或主管部门抽查复核，抽审结果误差率不得大于3%（含3%），否则停止该供应商6个月服务，如超出标准2次，则取消该入围供应商的服务资格。</w:t>
      </w:r>
    </w:p>
    <w:p>
      <w:pPr>
        <w:ind w:firstLine="546" w:firstLineChars="200"/>
        <w:rPr>
          <w:rFonts w:hint="eastAsia" w:ascii="宋体" w:hAnsi="宋体" w:eastAsia="宋体" w:cs="宋体"/>
          <w:b/>
          <w:bCs w:val="0"/>
          <w:color w:val="FF0000"/>
          <w:spacing w:val="-4"/>
          <w:kern w:val="0"/>
          <w:sz w:val="28"/>
          <w:szCs w:val="28"/>
          <w:lang w:val="en-US" w:eastAsia="zh-CN" w:bidi="ar-SA"/>
        </w:rPr>
      </w:pPr>
      <w:r>
        <w:rPr>
          <w:rFonts w:hint="eastAsia" w:ascii="宋体" w:hAnsi="宋体" w:eastAsia="宋体" w:cs="宋体"/>
          <w:b/>
          <w:bCs w:val="0"/>
          <w:color w:val="FF0000"/>
          <w:spacing w:val="-4"/>
          <w:kern w:val="0"/>
          <w:sz w:val="28"/>
          <w:szCs w:val="28"/>
          <w:lang w:val="en-US" w:eastAsia="zh-CN" w:bidi="ar-SA"/>
        </w:rPr>
        <w:t>误差率＝复审审减值／初审值×100%（复审审减值仅指审减数额，不包括审增数额）</w:t>
      </w:r>
    </w:p>
    <w:p>
      <w:pPr>
        <w:pStyle w:val="4"/>
        <w:spacing w:before="96" w:line="313" w:lineRule="auto"/>
        <w:ind w:firstLine="544" w:firstLineChars="200"/>
        <w:jc w:val="both"/>
        <w:rPr>
          <w:rFonts w:hint="eastAsia" w:ascii="宋体" w:hAnsi="宋体" w:eastAsia="宋体" w:cs="宋体"/>
          <w:b w:val="0"/>
          <w:bCs/>
          <w:spacing w:val="-4"/>
          <w:sz w:val="28"/>
          <w:szCs w:val="28"/>
          <w:highlight w:val="yellow"/>
          <w:lang w:val="en-US" w:eastAsia="zh-CN"/>
        </w:rPr>
      </w:pPr>
      <w:r>
        <w:rPr>
          <w:rFonts w:hint="eastAsia" w:ascii="宋体" w:hAnsi="宋体" w:eastAsia="宋体" w:cs="宋体"/>
          <w:b w:val="0"/>
          <w:bCs/>
          <w:spacing w:val="-4"/>
          <w:sz w:val="28"/>
          <w:szCs w:val="28"/>
          <w:highlight w:val="yellow"/>
          <w:lang w:val="en-US" w:eastAsia="zh-CN"/>
        </w:rPr>
        <w:t>3、控制价编制费率固定为控制价金额的0.3%，跟踪审计费率固定为合同价金额的0.6%，结算审计固定费率为审减率的3%。</w:t>
      </w:r>
    </w:p>
    <w:p>
      <w:pPr>
        <w:pStyle w:val="4"/>
        <w:spacing w:before="96" w:line="313" w:lineRule="auto"/>
        <w:ind w:firstLine="544" w:firstLineChars="200"/>
        <w:jc w:val="both"/>
      </w:pPr>
      <w:r>
        <w:rPr>
          <w:rFonts w:hint="eastAsia" w:ascii="宋体" w:hAnsi="宋体" w:eastAsia="宋体" w:cs="宋体"/>
          <w:b w:val="0"/>
          <w:bCs/>
          <w:spacing w:val="-4"/>
          <w:sz w:val="28"/>
          <w:szCs w:val="28"/>
          <w:highlight w:val="yellow"/>
          <w:lang w:val="en-US" w:eastAsia="zh-CN"/>
        </w:rPr>
        <w:t>4、入围供应商仅取得马鞍山市人民医院零星项目咨询服务库项目的资格，采购人不保证入围供应商的实际业务量。</w:t>
      </w:r>
    </w:p>
    <w:p>
      <w:pPr>
        <w:ind w:firstLine="544" w:firstLineChars="200"/>
        <w:rPr>
          <w:rFonts w:hint="eastAsia" w:ascii="宋体" w:hAnsi="宋体" w:eastAsia="宋体" w:cs="宋体"/>
          <w:b w:val="0"/>
          <w:bCs/>
          <w:spacing w:val="-4"/>
          <w:kern w:val="0"/>
          <w:sz w:val="28"/>
          <w:szCs w:val="28"/>
          <w:lang w:val="en-US" w:eastAsia="zh-CN" w:bidi="ar-SA"/>
        </w:rPr>
      </w:pPr>
      <w:r>
        <w:rPr>
          <w:rFonts w:hint="eastAsia" w:ascii="宋体" w:hAnsi="宋体" w:eastAsia="宋体" w:cs="宋体"/>
          <w:b w:val="0"/>
          <w:bCs/>
          <w:spacing w:val="-4"/>
          <w:kern w:val="0"/>
          <w:sz w:val="28"/>
          <w:szCs w:val="28"/>
          <w:lang w:val="en-US" w:eastAsia="zh-CN" w:bidi="ar-SA"/>
        </w:rPr>
        <w:t>5、包括不限于以下内容：工程量清单及控制价编制(在收到全部图纸等相关资料后五个工作日内编制完毕)、施工合同价预算审核(在收到全部图纸及预算软件等相关资料后十个工作日内审核完毕)、项目进度跟踪审计、竣工结算审计。分析合同价款，编制资金使用计划。负责对施工单位上报的已完成工作量月报进行审核，并提供当月付款建议书。协助招标人及时审核设计变更、现场签证等发生的费用，相应调整造价。参与材料设备询价，对设备、材料等的采购是否符合设计要求和合同进行检查。负责及时核定分阶段完工的分部工程结算，提供完整的工程结算审核报告。参与工程造价鉴定及仲裁，承发包双方提出索赔时，负责工程结算争议部分复核和解释工作，并为招标人提供咨询意见。审计单位出具的最后结算审核报告须依法复审。应招标人要求，随时提供项目施工过程中日常咨询服务。按照政府审计部门要求履行有关工作，接受监督检查。</w:t>
      </w:r>
    </w:p>
    <w:p>
      <w:pPr>
        <w:ind w:firstLine="544" w:firstLineChars="200"/>
        <w:rPr>
          <w:rFonts w:hint="eastAsia" w:ascii="宋体" w:hAnsi="宋体" w:eastAsia="宋体" w:cs="宋体"/>
          <w:b w:val="0"/>
          <w:bCs/>
          <w:spacing w:val="-4"/>
          <w:kern w:val="0"/>
          <w:sz w:val="28"/>
          <w:szCs w:val="28"/>
          <w:lang w:val="en-US" w:eastAsia="zh-CN" w:bidi="ar-SA"/>
        </w:rPr>
      </w:pPr>
      <w:r>
        <w:rPr>
          <w:rFonts w:hint="eastAsia" w:ascii="宋体" w:hAnsi="宋体" w:eastAsia="宋体" w:cs="宋体"/>
          <w:b w:val="0"/>
          <w:bCs/>
          <w:spacing w:val="-4"/>
          <w:kern w:val="0"/>
          <w:sz w:val="28"/>
          <w:szCs w:val="28"/>
          <w:lang w:val="en-US" w:eastAsia="zh-CN" w:bidi="ar-SA"/>
        </w:rPr>
        <w:t>6、服务要求：工程量清单控制价编制及审计结算业务要精准专业、实事求是，结论应真实、可靠，凡经抽查不合格的，将追究中标单位责任，包括不限于处罚违约金、承担多付工程款、列入黑名单、向有关部门推送不良行为记录等一种或多种组合方式。</w:t>
      </w:r>
    </w:p>
    <w:p>
      <w:pPr>
        <w:pStyle w:val="4"/>
        <w:spacing w:before="96" w:line="313" w:lineRule="auto"/>
        <w:ind w:firstLine="704" w:firstLineChars="261"/>
        <w:jc w:val="both"/>
        <w:rPr>
          <w:rFonts w:hint="eastAsia" w:ascii="宋体" w:hAnsi="宋体" w:eastAsia="宋体" w:cs="宋体"/>
          <w:b w:val="0"/>
          <w:bCs/>
          <w:spacing w:val="-5"/>
          <w:sz w:val="28"/>
          <w:szCs w:val="28"/>
          <w:lang w:val="en-US" w:eastAsia="zh-CN"/>
        </w:rPr>
      </w:pPr>
      <w:r>
        <w:rPr>
          <w:rFonts w:hint="eastAsia" w:ascii="宋体" w:hAnsi="宋体" w:eastAsia="宋体" w:cs="宋体"/>
          <w:b w:val="0"/>
          <w:bCs/>
          <w:spacing w:val="-5"/>
          <w:sz w:val="28"/>
          <w:szCs w:val="28"/>
          <w:lang w:val="en-US" w:eastAsia="zh-CN"/>
        </w:rPr>
        <w:t>三、服务需求</w:t>
      </w:r>
    </w:p>
    <w:p>
      <w:pPr>
        <w:pStyle w:val="4"/>
        <w:spacing w:before="96" w:line="313" w:lineRule="auto"/>
        <w:ind w:firstLine="704" w:firstLineChars="261"/>
        <w:jc w:val="both"/>
        <w:rPr>
          <w:rFonts w:hint="eastAsia" w:ascii="宋体" w:hAnsi="宋体" w:eastAsia="宋体" w:cs="宋体"/>
          <w:b w:val="0"/>
          <w:bCs/>
          <w:spacing w:val="-5"/>
          <w:sz w:val="28"/>
          <w:szCs w:val="28"/>
          <w:lang w:val="en-US" w:eastAsia="zh-CN"/>
        </w:rPr>
      </w:pPr>
      <w:r>
        <w:rPr>
          <w:rFonts w:hint="eastAsia" w:ascii="宋体" w:hAnsi="宋体" w:eastAsia="宋体" w:cs="宋体"/>
          <w:b w:val="0"/>
          <w:bCs/>
          <w:spacing w:val="-5"/>
          <w:sz w:val="28"/>
          <w:szCs w:val="28"/>
          <w:lang w:val="en-US" w:eastAsia="zh-CN"/>
        </w:rPr>
        <w:t>（一）工作纪律要求</w:t>
      </w:r>
    </w:p>
    <w:p>
      <w:pPr>
        <w:pStyle w:val="4"/>
        <w:spacing w:before="96" w:line="313" w:lineRule="auto"/>
        <w:ind w:firstLine="704" w:firstLineChars="261"/>
        <w:jc w:val="both"/>
        <w:rPr>
          <w:rFonts w:hint="eastAsia" w:ascii="宋体" w:hAnsi="宋体" w:eastAsia="宋体" w:cs="宋体"/>
          <w:b w:val="0"/>
          <w:bCs/>
          <w:spacing w:val="-5"/>
          <w:sz w:val="28"/>
          <w:szCs w:val="28"/>
          <w:lang w:val="en-US" w:eastAsia="zh-CN"/>
        </w:rPr>
      </w:pPr>
      <w:r>
        <w:rPr>
          <w:rFonts w:hint="eastAsia" w:ascii="宋体" w:hAnsi="宋体" w:eastAsia="宋体" w:cs="宋体"/>
          <w:b w:val="0"/>
          <w:bCs/>
          <w:spacing w:val="-5"/>
          <w:sz w:val="28"/>
          <w:szCs w:val="28"/>
          <w:lang w:val="en-US" w:eastAsia="zh-CN"/>
        </w:rPr>
        <w:t>1.不准隐瞒审计发现的问题，不得自行决定和处理争议问题。</w:t>
      </w:r>
    </w:p>
    <w:p>
      <w:pPr>
        <w:pStyle w:val="4"/>
        <w:spacing w:before="96" w:line="313" w:lineRule="auto"/>
        <w:ind w:firstLine="704" w:firstLineChars="261"/>
        <w:jc w:val="both"/>
        <w:rPr>
          <w:rFonts w:hint="eastAsia" w:ascii="宋体" w:hAnsi="宋体" w:eastAsia="宋体" w:cs="宋体"/>
          <w:b w:val="0"/>
          <w:bCs/>
          <w:spacing w:val="-5"/>
          <w:sz w:val="28"/>
          <w:szCs w:val="28"/>
          <w:lang w:val="en-US" w:eastAsia="zh-CN"/>
        </w:rPr>
      </w:pPr>
      <w:r>
        <w:rPr>
          <w:rFonts w:hint="eastAsia" w:ascii="宋体" w:hAnsi="宋体" w:eastAsia="宋体" w:cs="宋体"/>
          <w:b w:val="0"/>
          <w:bCs/>
          <w:spacing w:val="-5"/>
          <w:sz w:val="28"/>
          <w:szCs w:val="28"/>
          <w:lang w:val="en-US" w:eastAsia="zh-CN"/>
        </w:rPr>
        <w:t>2.不准泄露被审计项目相关单位商业秘密和内部信息。</w:t>
      </w:r>
    </w:p>
    <w:p>
      <w:pPr>
        <w:pStyle w:val="4"/>
        <w:spacing w:before="96" w:line="313" w:lineRule="auto"/>
        <w:ind w:firstLine="704" w:firstLineChars="261"/>
        <w:jc w:val="both"/>
        <w:rPr>
          <w:rFonts w:hint="eastAsia" w:ascii="宋体" w:hAnsi="宋体" w:eastAsia="宋体" w:cs="宋体"/>
          <w:b w:val="0"/>
          <w:bCs/>
          <w:spacing w:val="-5"/>
          <w:sz w:val="28"/>
          <w:szCs w:val="28"/>
          <w:lang w:val="en-US" w:eastAsia="zh-CN"/>
        </w:rPr>
      </w:pPr>
      <w:r>
        <w:rPr>
          <w:rFonts w:hint="eastAsia" w:ascii="宋体" w:hAnsi="宋体" w:eastAsia="宋体" w:cs="宋体"/>
          <w:b w:val="0"/>
          <w:bCs/>
          <w:spacing w:val="-5"/>
          <w:sz w:val="28"/>
          <w:szCs w:val="28"/>
          <w:lang w:val="en-US" w:eastAsia="zh-CN"/>
        </w:rPr>
        <w:t>3.不准在审计期间，以任何理由接受审计对象的宴请，不得参加可能影响公正的宴请。</w:t>
      </w:r>
    </w:p>
    <w:p>
      <w:pPr>
        <w:pStyle w:val="4"/>
        <w:spacing w:before="96" w:line="313" w:lineRule="auto"/>
        <w:ind w:firstLine="704" w:firstLineChars="261"/>
        <w:jc w:val="both"/>
        <w:rPr>
          <w:rFonts w:hint="eastAsia" w:ascii="宋体" w:hAnsi="宋体" w:eastAsia="宋体" w:cs="宋体"/>
          <w:b w:val="0"/>
          <w:bCs/>
          <w:spacing w:val="-5"/>
          <w:sz w:val="28"/>
          <w:szCs w:val="28"/>
          <w:lang w:val="en-US" w:eastAsia="zh-CN"/>
        </w:rPr>
      </w:pPr>
      <w:r>
        <w:rPr>
          <w:rFonts w:hint="eastAsia" w:ascii="宋体" w:hAnsi="宋体" w:eastAsia="宋体" w:cs="宋体"/>
          <w:b w:val="0"/>
          <w:bCs/>
          <w:spacing w:val="-5"/>
          <w:sz w:val="28"/>
          <w:szCs w:val="28"/>
          <w:lang w:val="en-US" w:eastAsia="zh-CN"/>
        </w:rPr>
        <w:t>4.不准参加审计对象安排的各类娱乐性活动。</w:t>
      </w:r>
    </w:p>
    <w:p>
      <w:pPr>
        <w:pStyle w:val="4"/>
        <w:spacing w:before="96" w:line="313" w:lineRule="auto"/>
        <w:ind w:firstLine="704" w:firstLineChars="261"/>
        <w:jc w:val="both"/>
        <w:rPr>
          <w:rFonts w:hint="eastAsia" w:ascii="宋体" w:hAnsi="宋体" w:eastAsia="宋体" w:cs="宋体"/>
          <w:b w:val="0"/>
          <w:bCs/>
          <w:spacing w:val="-5"/>
          <w:sz w:val="28"/>
          <w:szCs w:val="28"/>
          <w:lang w:val="en-US" w:eastAsia="zh-CN"/>
        </w:rPr>
      </w:pPr>
      <w:r>
        <w:rPr>
          <w:rFonts w:hint="eastAsia" w:ascii="宋体" w:hAnsi="宋体" w:eastAsia="宋体" w:cs="宋体"/>
          <w:b w:val="0"/>
          <w:bCs/>
          <w:spacing w:val="-5"/>
          <w:sz w:val="28"/>
          <w:szCs w:val="28"/>
          <w:lang w:val="en-US" w:eastAsia="zh-CN"/>
        </w:rPr>
        <w:t>5.不准接受审计对象赠送的礼品、礼金、消费卡、有价证券等。</w:t>
      </w:r>
    </w:p>
    <w:p>
      <w:pPr>
        <w:pStyle w:val="4"/>
        <w:spacing w:before="96" w:line="313" w:lineRule="auto"/>
        <w:ind w:firstLine="704" w:firstLineChars="261"/>
        <w:jc w:val="both"/>
        <w:rPr>
          <w:rFonts w:hint="eastAsia" w:ascii="宋体" w:hAnsi="宋体" w:eastAsia="宋体" w:cs="宋体"/>
          <w:b w:val="0"/>
          <w:bCs/>
          <w:spacing w:val="-5"/>
          <w:sz w:val="28"/>
          <w:szCs w:val="28"/>
          <w:lang w:val="en-US" w:eastAsia="zh-CN"/>
        </w:rPr>
      </w:pPr>
      <w:r>
        <w:rPr>
          <w:rFonts w:hint="eastAsia" w:ascii="宋体" w:hAnsi="宋体" w:eastAsia="宋体" w:cs="宋体"/>
          <w:b w:val="0"/>
          <w:bCs/>
          <w:spacing w:val="-5"/>
          <w:sz w:val="28"/>
          <w:szCs w:val="28"/>
          <w:lang w:val="en-US" w:eastAsia="zh-CN"/>
        </w:rPr>
        <w:t>6.不准利用审计工作之便为个人办私事、谋私利。</w:t>
      </w:r>
    </w:p>
    <w:p>
      <w:pPr>
        <w:pStyle w:val="4"/>
        <w:spacing w:before="96" w:line="313" w:lineRule="auto"/>
        <w:ind w:firstLine="704" w:firstLineChars="261"/>
        <w:jc w:val="both"/>
        <w:rPr>
          <w:rFonts w:hint="eastAsia" w:ascii="宋体" w:hAnsi="宋体" w:eastAsia="宋体" w:cs="宋体"/>
          <w:b w:val="0"/>
          <w:bCs/>
          <w:spacing w:val="-5"/>
          <w:sz w:val="28"/>
          <w:szCs w:val="28"/>
          <w:lang w:val="en-US" w:eastAsia="zh-CN"/>
        </w:rPr>
      </w:pPr>
      <w:r>
        <w:rPr>
          <w:rFonts w:hint="eastAsia" w:ascii="宋体" w:hAnsi="宋体" w:eastAsia="宋体" w:cs="宋体"/>
          <w:b w:val="0"/>
          <w:bCs/>
          <w:spacing w:val="-5"/>
          <w:sz w:val="28"/>
          <w:szCs w:val="28"/>
          <w:lang w:val="en-US" w:eastAsia="zh-CN"/>
        </w:rPr>
        <w:t>7.不准向审计对象提出与协审工作无关的要求。</w:t>
      </w:r>
    </w:p>
    <w:p>
      <w:pPr>
        <w:pStyle w:val="4"/>
        <w:spacing w:before="96" w:line="313" w:lineRule="auto"/>
        <w:ind w:firstLine="704" w:firstLineChars="261"/>
        <w:jc w:val="both"/>
        <w:rPr>
          <w:rFonts w:hint="eastAsia" w:ascii="宋体" w:hAnsi="宋体" w:eastAsia="宋体" w:cs="宋体"/>
          <w:b w:val="0"/>
          <w:bCs/>
          <w:spacing w:val="-5"/>
          <w:sz w:val="28"/>
          <w:szCs w:val="28"/>
          <w:lang w:val="en-US" w:eastAsia="zh-CN"/>
        </w:rPr>
      </w:pPr>
      <w:r>
        <w:rPr>
          <w:rFonts w:hint="eastAsia" w:ascii="宋体" w:hAnsi="宋体" w:eastAsia="宋体" w:cs="宋体"/>
          <w:b w:val="0"/>
          <w:bCs/>
          <w:spacing w:val="-5"/>
          <w:sz w:val="28"/>
          <w:szCs w:val="28"/>
          <w:lang w:val="en-US" w:eastAsia="zh-CN"/>
        </w:rPr>
        <w:t>8.不准利用工作之便向审计对象推荐、推销产品。</w:t>
      </w:r>
    </w:p>
    <w:p>
      <w:pPr>
        <w:pStyle w:val="4"/>
        <w:spacing w:before="96" w:line="313" w:lineRule="auto"/>
        <w:ind w:firstLine="704" w:firstLineChars="261"/>
        <w:jc w:val="both"/>
        <w:rPr>
          <w:rFonts w:hint="eastAsia" w:ascii="宋体" w:hAnsi="宋体" w:eastAsia="宋体" w:cs="宋体"/>
          <w:b w:val="0"/>
          <w:bCs/>
          <w:spacing w:val="-5"/>
          <w:sz w:val="28"/>
          <w:szCs w:val="28"/>
          <w:lang w:val="en-US" w:eastAsia="zh-CN"/>
        </w:rPr>
      </w:pPr>
      <w:r>
        <w:rPr>
          <w:rFonts w:hint="eastAsia" w:ascii="宋体" w:hAnsi="宋体" w:eastAsia="宋体" w:cs="宋体"/>
          <w:b w:val="0"/>
          <w:bCs/>
          <w:spacing w:val="-5"/>
          <w:sz w:val="28"/>
          <w:szCs w:val="28"/>
          <w:lang w:val="en-US" w:eastAsia="zh-CN"/>
        </w:rPr>
        <w:t>（二）入围供应商在接受委托、安排人员时应实行回避制度。存在下列情形之一的，应当主动回避，不得接受委托：</w:t>
      </w:r>
    </w:p>
    <w:p>
      <w:pPr>
        <w:pStyle w:val="4"/>
        <w:spacing w:before="96" w:line="313" w:lineRule="auto"/>
        <w:ind w:firstLine="704" w:firstLineChars="261"/>
        <w:jc w:val="both"/>
        <w:rPr>
          <w:rFonts w:hint="eastAsia" w:ascii="宋体" w:hAnsi="宋体" w:eastAsia="宋体" w:cs="宋体"/>
          <w:b w:val="0"/>
          <w:bCs/>
          <w:spacing w:val="-5"/>
          <w:sz w:val="28"/>
          <w:szCs w:val="28"/>
          <w:lang w:val="en-US" w:eastAsia="zh-CN"/>
        </w:rPr>
      </w:pPr>
      <w:r>
        <w:rPr>
          <w:rFonts w:hint="eastAsia" w:ascii="宋体" w:hAnsi="宋体" w:eastAsia="宋体" w:cs="宋体"/>
          <w:b w:val="0"/>
          <w:bCs/>
          <w:spacing w:val="-5"/>
          <w:sz w:val="28"/>
          <w:szCs w:val="28"/>
          <w:lang w:val="en-US" w:eastAsia="zh-CN"/>
        </w:rPr>
        <w:t>1.入围供应商与审计对象存在会计、结算、税务等事项的代理关系，以及经济利益关系或其他利益关系的。</w:t>
      </w:r>
    </w:p>
    <w:p>
      <w:pPr>
        <w:pStyle w:val="4"/>
        <w:spacing w:before="96" w:line="313" w:lineRule="auto"/>
        <w:ind w:firstLine="704" w:firstLineChars="261"/>
        <w:jc w:val="both"/>
        <w:rPr>
          <w:rFonts w:hint="eastAsia" w:ascii="宋体" w:hAnsi="宋体" w:eastAsia="宋体" w:cs="宋体"/>
          <w:b w:val="0"/>
          <w:bCs/>
          <w:spacing w:val="-5"/>
          <w:sz w:val="28"/>
          <w:szCs w:val="28"/>
          <w:lang w:val="en-US" w:eastAsia="zh-CN"/>
        </w:rPr>
      </w:pPr>
      <w:r>
        <w:rPr>
          <w:rFonts w:hint="eastAsia" w:ascii="宋体" w:hAnsi="宋体" w:eastAsia="宋体" w:cs="宋体"/>
          <w:b w:val="0"/>
          <w:bCs/>
          <w:spacing w:val="-5"/>
          <w:sz w:val="28"/>
          <w:szCs w:val="28"/>
          <w:lang w:val="en-US" w:eastAsia="zh-CN"/>
        </w:rPr>
        <w:t>2.入围供应商参与人员与审计对象有直接经济利益关系或其他直接利害关系，以及与审计对象负责人或主管人员有亲属关系的。</w:t>
      </w:r>
    </w:p>
    <w:p>
      <w:pPr>
        <w:pStyle w:val="4"/>
        <w:spacing w:before="96" w:line="313" w:lineRule="auto"/>
        <w:ind w:firstLine="704" w:firstLineChars="261"/>
        <w:jc w:val="both"/>
        <w:rPr>
          <w:rFonts w:hint="eastAsia" w:ascii="宋体" w:hAnsi="宋体" w:eastAsia="宋体" w:cs="宋体"/>
          <w:b w:val="0"/>
          <w:bCs/>
          <w:spacing w:val="-5"/>
          <w:sz w:val="28"/>
          <w:szCs w:val="28"/>
          <w:lang w:val="en-US" w:eastAsia="zh-CN"/>
        </w:rPr>
      </w:pPr>
      <w:r>
        <w:rPr>
          <w:rFonts w:hint="eastAsia" w:ascii="宋体" w:hAnsi="宋体" w:eastAsia="宋体" w:cs="宋体"/>
          <w:b w:val="0"/>
          <w:bCs/>
          <w:spacing w:val="-5"/>
          <w:sz w:val="28"/>
          <w:szCs w:val="28"/>
          <w:lang w:val="en-US" w:eastAsia="zh-CN"/>
        </w:rPr>
        <w:t>3.入围供应商聘请的专家属于审计对象的工作人员的。</w:t>
      </w:r>
    </w:p>
    <w:p>
      <w:pPr>
        <w:pStyle w:val="4"/>
        <w:spacing w:before="96" w:line="313" w:lineRule="auto"/>
        <w:ind w:firstLine="704" w:firstLineChars="261"/>
        <w:jc w:val="both"/>
        <w:rPr>
          <w:rFonts w:hint="eastAsia" w:ascii="宋体" w:hAnsi="宋体" w:eastAsia="宋体" w:cs="宋体"/>
          <w:b w:val="0"/>
          <w:bCs/>
          <w:spacing w:val="-5"/>
          <w:sz w:val="28"/>
          <w:szCs w:val="28"/>
          <w:lang w:val="en-US" w:eastAsia="zh-CN"/>
        </w:rPr>
      </w:pPr>
      <w:r>
        <w:rPr>
          <w:rFonts w:hint="eastAsia" w:ascii="宋体" w:hAnsi="宋体" w:eastAsia="宋体" w:cs="宋体"/>
          <w:b w:val="0"/>
          <w:bCs/>
          <w:spacing w:val="-5"/>
          <w:sz w:val="28"/>
          <w:szCs w:val="28"/>
          <w:lang w:val="en-US" w:eastAsia="zh-CN"/>
        </w:rPr>
        <w:t>4.其他可能影响公正性的情况。</w:t>
      </w:r>
    </w:p>
    <w:p>
      <w:pPr>
        <w:pStyle w:val="4"/>
        <w:spacing w:before="96" w:line="313" w:lineRule="auto"/>
        <w:ind w:firstLine="704" w:firstLineChars="261"/>
        <w:jc w:val="both"/>
        <w:rPr>
          <w:rFonts w:hint="eastAsia" w:ascii="宋体" w:hAnsi="宋体" w:eastAsia="宋体" w:cs="宋体"/>
          <w:b w:val="0"/>
          <w:bCs/>
          <w:spacing w:val="-5"/>
          <w:sz w:val="28"/>
          <w:szCs w:val="28"/>
          <w:lang w:val="en-US" w:eastAsia="zh-CN"/>
        </w:rPr>
      </w:pPr>
      <w:r>
        <w:rPr>
          <w:rFonts w:hint="eastAsia" w:ascii="宋体" w:hAnsi="宋体" w:eastAsia="宋体" w:cs="宋体"/>
          <w:b w:val="0"/>
          <w:bCs/>
          <w:spacing w:val="-5"/>
          <w:sz w:val="28"/>
          <w:szCs w:val="28"/>
          <w:lang w:val="en-US" w:eastAsia="zh-CN"/>
        </w:rPr>
        <w:t>5.其他相关方提出回避申请的，由委托人审定是否应当回避。</w:t>
      </w:r>
    </w:p>
    <w:p>
      <w:pPr>
        <w:pStyle w:val="4"/>
        <w:spacing w:before="96" w:line="313" w:lineRule="auto"/>
        <w:ind w:firstLine="704" w:firstLineChars="261"/>
        <w:jc w:val="both"/>
        <w:rPr>
          <w:rFonts w:hint="eastAsia" w:ascii="宋体" w:hAnsi="宋体" w:eastAsia="宋体" w:cs="宋体"/>
          <w:b w:val="0"/>
          <w:bCs/>
          <w:spacing w:val="-5"/>
          <w:sz w:val="28"/>
          <w:szCs w:val="28"/>
          <w:lang w:val="en-US" w:eastAsia="zh-CN"/>
        </w:rPr>
      </w:pPr>
      <w:r>
        <w:rPr>
          <w:rFonts w:hint="eastAsia" w:ascii="宋体" w:hAnsi="宋体" w:eastAsia="宋体" w:cs="宋体"/>
          <w:b w:val="0"/>
          <w:bCs/>
          <w:spacing w:val="-5"/>
          <w:sz w:val="28"/>
          <w:szCs w:val="28"/>
          <w:lang w:val="en-US" w:eastAsia="zh-CN"/>
        </w:rPr>
        <w:t>6、入围供应商依据法律法规、行业规范及操作规程，以及双方签订的委托协议等开展受托工作，并对提交的审计工作底稿和审计成果负责，做好质量控制，保证材料详实、数据准确、依据充分、结果可追溯。</w:t>
      </w:r>
    </w:p>
    <w:p>
      <w:pPr>
        <w:pStyle w:val="4"/>
        <w:spacing w:before="96" w:line="313" w:lineRule="auto"/>
        <w:ind w:firstLine="704" w:firstLineChars="261"/>
        <w:jc w:val="both"/>
        <w:rPr>
          <w:rFonts w:hint="eastAsia" w:ascii="宋体" w:hAnsi="宋体" w:eastAsia="宋体" w:cs="宋体"/>
          <w:b w:val="0"/>
          <w:bCs/>
          <w:spacing w:val="-5"/>
          <w:sz w:val="28"/>
          <w:szCs w:val="28"/>
          <w:lang w:val="en-US" w:eastAsia="zh-CN"/>
        </w:rPr>
      </w:pPr>
      <w:r>
        <w:rPr>
          <w:rFonts w:hint="eastAsia" w:ascii="宋体" w:hAnsi="宋体" w:eastAsia="宋体" w:cs="宋体"/>
          <w:b w:val="0"/>
          <w:bCs/>
          <w:spacing w:val="-5"/>
          <w:sz w:val="28"/>
          <w:szCs w:val="28"/>
          <w:lang w:val="en-US" w:eastAsia="zh-CN"/>
        </w:rPr>
        <w:t>7、入围供应商和委托方应根据委托协议确定的归档责任，按照《中华人民共和国档案法》《中华人民共和国保守国家秘密法》等法律法规的要求，对委托事项相关业务资料进行建档、存放和保管管理，确保档案资料的原始、完整和安全。</w:t>
      </w:r>
    </w:p>
    <w:p>
      <w:pPr>
        <w:pStyle w:val="4"/>
        <w:spacing w:before="96" w:line="313" w:lineRule="auto"/>
        <w:ind w:firstLine="704" w:firstLineChars="261"/>
        <w:jc w:val="both"/>
        <w:rPr>
          <w:rFonts w:hint="eastAsia" w:ascii="宋体" w:hAnsi="宋体" w:eastAsia="宋体" w:cs="宋体"/>
          <w:b w:val="0"/>
          <w:bCs/>
          <w:spacing w:val="-5"/>
          <w:sz w:val="28"/>
          <w:szCs w:val="28"/>
          <w:lang w:val="en-US" w:eastAsia="zh-CN"/>
        </w:rPr>
      </w:pPr>
      <w:r>
        <w:rPr>
          <w:rFonts w:hint="eastAsia" w:ascii="宋体" w:hAnsi="宋体" w:eastAsia="宋体" w:cs="宋体"/>
          <w:b w:val="0"/>
          <w:bCs/>
          <w:spacing w:val="-5"/>
          <w:sz w:val="28"/>
          <w:szCs w:val="28"/>
          <w:lang w:val="en-US" w:eastAsia="zh-CN"/>
        </w:rPr>
        <w:t>8、对由入围供应商保管的档案资料，未经委托方同意或授权，入围供应商不得以任何形式擅自对外提供、泄露或公开。委托方有权调阅、查询和复制所委托事项的档案资料。</w:t>
      </w:r>
    </w:p>
    <w:p>
      <w:pPr>
        <w:pStyle w:val="4"/>
        <w:spacing w:before="52" w:line="324" w:lineRule="auto"/>
        <w:ind w:right="1" w:firstLine="544" w:firstLineChars="200"/>
        <w:jc w:val="both"/>
        <w:rPr>
          <w:rFonts w:hint="eastAsia" w:ascii="宋体" w:hAnsi="宋体" w:eastAsia="宋体" w:cs="宋体"/>
          <w:b w:val="0"/>
          <w:bCs/>
          <w:sz w:val="28"/>
          <w:szCs w:val="28"/>
          <w:lang w:val="en-US" w:eastAsia="zh-CN"/>
        </w:rPr>
      </w:pPr>
      <w:r>
        <w:rPr>
          <w:rFonts w:hint="eastAsia" w:ascii="宋体" w:hAnsi="宋体" w:eastAsia="宋体" w:cs="宋体"/>
          <w:b w:val="0"/>
          <w:bCs/>
          <w:spacing w:val="-4"/>
          <w:sz w:val="28"/>
          <w:szCs w:val="28"/>
          <w:lang w:val="en-US" w:eastAsia="zh-CN"/>
        </w:rPr>
        <w:t>四、</w:t>
      </w:r>
      <w:r>
        <w:rPr>
          <w:rFonts w:hint="eastAsia" w:ascii="宋体" w:hAnsi="宋体" w:eastAsia="宋体" w:cs="宋体"/>
          <w:b w:val="0"/>
          <w:bCs/>
          <w:spacing w:val="-4"/>
          <w:sz w:val="28"/>
          <w:szCs w:val="28"/>
        </w:rPr>
        <w:t>付款方式：</w:t>
      </w:r>
      <w:r>
        <w:rPr>
          <w:rFonts w:hint="eastAsia" w:ascii="宋体" w:hAnsi="宋体" w:eastAsia="宋体" w:cs="宋体"/>
          <w:b w:val="0"/>
          <w:bCs/>
          <w:spacing w:val="-4"/>
          <w:sz w:val="28"/>
          <w:szCs w:val="28"/>
          <w:lang w:val="en-US" w:eastAsia="zh-CN"/>
        </w:rPr>
        <w:t>每半年按照已出具报告的成果文件支付费用。成果文件费用按费率计算，不足1000元的按1000元/份记取，超过一千元的以招标费率按实计算。</w:t>
      </w:r>
      <w:r>
        <w:rPr>
          <w:rFonts w:hint="eastAsia" w:ascii="宋体" w:hAnsi="宋体" w:cs="宋体"/>
          <w:b/>
          <w:sz w:val="28"/>
          <w:szCs w:val="28"/>
        </w:rPr>
        <w:t>（本项目支付给所有</w:t>
      </w:r>
      <w:r>
        <w:rPr>
          <w:rFonts w:hint="eastAsia" w:ascii="宋体" w:hAnsi="宋体" w:cs="宋体"/>
          <w:b/>
          <w:sz w:val="28"/>
          <w:szCs w:val="28"/>
          <w:lang w:eastAsia="zh-CN"/>
        </w:rPr>
        <w:t>入围供应商</w:t>
      </w:r>
      <w:r>
        <w:rPr>
          <w:rFonts w:hint="eastAsia" w:ascii="宋体" w:hAnsi="宋体" w:cs="宋体"/>
          <w:b/>
          <w:sz w:val="28"/>
          <w:szCs w:val="28"/>
        </w:rPr>
        <w:t>的费用累计不超过15万元/年）</w:t>
      </w:r>
    </w:p>
    <w:p>
      <w:pPr>
        <w:pStyle w:val="4"/>
        <w:spacing w:before="52" w:line="331" w:lineRule="auto"/>
        <w:ind w:right="1" w:firstLine="544" w:firstLineChars="200"/>
        <w:jc w:val="both"/>
        <w:rPr>
          <w:rFonts w:hint="default" w:ascii="仿宋" w:hAnsi="仿宋" w:eastAsia="仿宋" w:cs="仿宋"/>
          <w:sz w:val="32"/>
          <w:szCs w:val="32"/>
          <w:lang w:val="en-US" w:eastAsia="zh-CN"/>
        </w:rPr>
      </w:pPr>
      <w:r>
        <w:rPr>
          <w:rFonts w:hint="eastAsia" w:ascii="宋体" w:hAnsi="宋体" w:eastAsia="宋体" w:cs="宋体"/>
          <w:b w:val="0"/>
          <w:bCs/>
          <w:spacing w:val="-4"/>
          <w:sz w:val="28"/>
          <w:szCs w:val="28"/>
          <w:lang w:val="en-US" w:eastAsia="zh-CN"/>
        </w:rPr>
        <w:t>五、</w:t>
      </w:r>
      <w:r>
        <w:rPr>
          <w:rFonts w:hint="eastAsia" w:ascii="宋体" w:hAnsi="宋体" w:eastAsia="宋体" w:cs="宋体"/>
          <w:b w:val="0"/>
          <w:bCs/>
          <w:spacing w:val="-4"/>
          <w:sz w:val="28"/>
          <w:szCs w:val="28"/>
        </w:rPr>
        <w:t>招标方式：采用竞争性</w:t>
      </w:r>
      <w:r>
        <w:rPr>
          <w:rFonts w:hint="eastAsia" w:ascii="宋体" w:hAnsi="宋体" w:eastAsia="宋体" w:cs="宋体"/>
          <w:b w:val="0"/>
          <w:bCs/>
          <w:spacing w:val="-4"/>
          <w:sz w:val="28"/>
          <w:szCs w:val="28"/>
          <w:lang w:val="en-US" w:eastAsia="zh-CN"/>
        </w:rPr>
        <w:t>磋商</w:t>
      </w:r>
      <w:r>
        <w:rPr>
          <w:rFonts w:hint="eastAsia" w:ascii="宋体" w:hAnsi="宋体" w:eastAsia="宋体" w:cs="宋体"/>
          <w:b w:val="0"/>
          <w:bCs/>
          <w:spacing w:val="-4"/>
          <w:sz w:val="28"/>
          <w:szCs w:val="28"/>
        </w:rPr>
        <w:t>方式招标。预算</w:t>
      </w:r>
      <w:r>
        <w:rPr>
          <w:rFonts w:hint="eastAsia" w:ascii="宋体" w:hAnsi="宋体" w:eastAsia="宋体" w:cs="宋体"/>
          <w:b w:val="0"/>
          <w:bCs/>
          <w:spacing w:val="-4"/>
          <w:sz w:val="28"/>
          <w:szCs w:val="28"/>
          <w:lang w:val="en-US" w:eastAsia="zh-CN"/>
        </w:rPr>
        <w:t>15</w:t>
      </w:r>
      <w:r>
        <w:rPr>
          <w:rFonts w:hint="eastAsia" w:ascii="宋体" w:hAnsi="宋体" w:eastAsia="宋体" w:cs="宋体"/>
          <w:b w:val="0"/>
          <w:bCs/>
          <w:spacing w:val="-4"/>
          <w:sz w:val="28"/>
          <w:szCs w:val="28"/>
        </w:rPr>
        <w:t>万元/年。按照</w:t>
      </w:r>
      <w:r>
        <w:rPr>
          <w:rFonts w:hint="eastAsia" w:ascii="宋体" w:hAnsi="宋体" w:eastAsia="宋体" w:cs="宋体"/>
          <w:b w:val="0"/>
          <w:bCs/>
          <w:spacing w:val="-4"/>
          <w:sz w:val="28"/>
          <w:szCs w:val="28"/>
          <w:lang w:val="en-US" w:eastAsia="zh-CN"/>
        </w:rPr>
        <w:t>综合评分招标，评分前三名为入围供应商。</w:t>
      </w:r>
    </w:p>
    <w:p>
      <w:pPr>
        <w:widowControl/>
        <w:spacing w:line="480" w:lineRule="exact"/>
        <w:ind w:firstLine="560" w:firstLineChars="200"/>
        <w:jc w:val="left"/>
        <w:rPr>
          <w:rFonts w:hint="eastAsia" w:ascii="宋体" w:hAnsi="宋体" w:cs="宋体"/>
          <w:b/>
          <w:sz w:val="28"/>
          <w:szCs w:val="28"/>
        </w:rPr>
      </w:pPr>
      <w:r>
        <w:rPr>
          <w:rFonts w:hint="eastAsia" w:ascii="宋体" w:hAnsi="宋体" w:cs="宋体"/>
          <w:bCs/>
          <w:sz w:val="28"/>
          <w:szCs w:val="28"/>
          <w:lang w:val="en-US" w:eastAsia="zh-CN"/>
        </w:rPr>
        <w:t>六</w:t>
      </w:r>
      <w:r>
        <w:rPr>
          <w:rFonts w:hint="eastAsia" w:ascii="宋体" w:hAnsi="宋体" w:cs="宋体"/>
          <w:bCs/>
          <w:sz w:val="28"/>
          <w:szCs w:val="28"/>
        </w:rPr>
        <w:t>、</w:t>
      </w:r>
      <w:r>
        <w:rPr>
          <w:rFonts w:hint="eastAsia" w:ascii="宋体" w:hAnsi="宋体" w:eastAsia="宋体" w:cs="Times New Roman"/>
          <w:sz w:val="28"/>
          <w:szCs w:val="28"/>
        </w:rPr>
        <w:t>本项目响应报价包含了履行合同所有内容的全部费用，但不限于人员工资和社会保险费、住房公积金费用、资料收集、整理、分析、审计、技术服务费、修改、办公费、交通费、印刷费、差旅费、食宿费、管理费、采购代理服务费、其他费用及所有价内价外税金及合理利润等。</w:t>
      </w:r>
    </w:p>
    <w:p>
      <w:pPr>
        <w:spacing w:line="460" w:lineRule="exact"/>
        <w:ind w:firstLine="562" w:firstLineChars="200"/>
        <w:rPr>
          <w:rFonts w:hint="eastAsia" w:ascii="宋体" w:hAnsi="宋体" w:cs="宋体"/>
          <w:b/>
          <w:sz w:val="28"/>
          <w:szCs w:val="28"/>
        </w:rPr>
      </w:pPr>
      <w:r>
        <w:rPr>
          <w:rFonts w:hint="eastAsia" w:ascii="宋体" w:hAnsi="宋体" w:cs="宋体"/>
          <w:b/>
          <w:sz w:val="28"/>
          <w:szCs w:val="28"/>
          <w:lang w:val="en-US" w:eastAsia="zh-CN"/>
        </w:rPr>
        <w:t>七、</w:t>
      </w:r>
      <w:r>
        <w:rPr>
          <w:rFonts w:hint="eastAsia" w:ascii="宋体" w:hAnsi="宋体" w:cs="宋体"/>
          <w:b/>
          <w:sz w:val="28"/>
          <w:szCs w:val="28"/>
        </w:rPr>
        <w:t>考核办法</w:t>
      </w:r>
    </w:p>
    <w:p>
      <w:pPr>
        <w:spacing w:line="460" w:lineRule="exact"/>
        <w:ind w:firstLine="560" w:firstLineChars="200"/>
        <w:rPr>
          <w:rFonts w:hint="eastAsia" w:ascii="宋体" w:hAnsi="宋体" w:cs="宋体"/>
          <w:sz w:val="28"/>
          <w:szCs w:val="28"/>
        </w:rPr>
      </w:pPr>
      <w:r>
        <w:rPr>
          <w:rFonts w:hint="eastAsia" w:ascii="宋体" w:hAnsi="宋体" w:cs="宋体"/>
          <w:sz w:val="28"/>
          <w:szCs w:val="28"/>
        </w:rPr>
        <w:t>采购人对</w:t>
      </w:r>
      <w:r>
        <w:rPr>
          <w:rFonts w:hint="eastAsia" w:ascii="宋体" w:hAnsi="宋体" w:cs="宋体"/>
          <w:sz w:val="28"/>
          <w:szCs w:val="28"/>
          <w:lang w:eastAsia="zh-CN"/>
        </w:rPr>
        <w:t>入围供应商</w:t>
      </w:r>
      <w:r>
        <w:rPr>
          <w:rFonts w:hint="eastAsia" w:ascii="宋体" w:hAnsi="宋体" w:cs="宋体"/>
          <w:sz w:val="28"/>
          <w:szCs w:val="28"/>
        </w:rPr>
        <w:t>实行年度综合考核，考核不合格的予以清退。</w:t>
      </w:r>
    </w:p>
    <w:p>
      <w:pPr>
        <w:spacing w:line="460" w:lineRule="exact"/>
        <w:ind w:firstLine="562" w:firstLineChars="200"/>
        <w:rPr>
          <w:rFonts w:hint="eastAsia" w:ascii="宋体" w:hAnsi="宋体" w:cs="宋体"/>
          <w:sz w:val="28"/>
          <w:szCs w:val="28"/>
        </w:rPr>
      </w:pPr>
      <w:r>
        <w:rPr>
          <w:rFonts w:hint="eastAsia" w:ascii="宋体" w:hAnsi="宋体" w:cs="宋体"/>
          <w:b/>
          <w:bCs/>
          <w:sz w:val="28"/>
          <w:szCs w:val="28"/>
        </w:rPr>
        <w:t>年终综合评定：</w:t>
      </w:r>
      <w:r>
        <w:rPr>
          <w:rFonts w:hint="eastAsia" w:ascii="宋体" w:hAnsi="宋体" w:cs="宋体"/>
          <w:sz w:val="28"/>
          <w:szCs w:val="28"/>
        </w:rPr>
        <w:t>每年度考核一次，90（含）-100分为优秀，80（含）-90分为良好，70（含）-80分为合格，70分以下为不合格。</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7"/>
        <w:gridCol w:w="1250"/>
        <w:gridCol w:w="759"/>
        <w:gridCol w:w="5050"/>
        <w:gridCol w:w="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23" w:type="dxa"/>
            <w:noWrap w:val="0"/>
            <w:vAlign w:val="center"/>
          </w:tcPr>
          <w:p>
            <w:pPr>
              <w:jc w:val="center"/>
              <w:rPr>
                <w:rFonts w:hint="eastAsia" w:ascii="宋体" w:hAnsi="宋体" w:cs="宋体"/>
                <w:b/>
                <w:bCs/>
                <w:sz w:val="24"/>
                <w:szCs w:val="24"/>
              </w:rPr>
            </w:pPr>
            <w:r>
              <w:rPr>
                <w:rFonts w:hint="eastAsia" w:ascii="宋体" w:hAnsi="宋体" w:cs="宋体"/>
                <w:b/>
                <w:bCs/>
                <w:sz w:val="24"/>
                <w:szCs w:val="24"/>
              </w:rPr>
              <w:t>序号</w:t>
            </w:r>
          </w:p>
        </w:tc>
        <w:tc>
          <w:tcPr>
            <w:tcW w:w="1266" w:type="dxa"/>
            <w:noWrap w:val="0"/>
            <w:vAlign w:val="center"/>
          </w:tcPr>
          <w:p>
            <w:pPr>
              <w:jc w:val="center"/>
              <w:rPr>
                <w:rFonts w:hint="eastAsia" w:ascii="宋体" w:hAnsi="宋体" w:cs="宋体"/>
                <w:b/>
                <w:bCs/>
                <w:sz w:val="24"/>
                <w:szCs w:val="24"/>
              </w:rPr>
            </w:pPr>
            <w:r>
              <w:rPr>
                <w:rFonts w:hint="eastAsia" w:ascii="宋体" w:hAnsi="宋体" w:cs="宋体"/>
                <w:b/>
                <w:bCs/>
                <w:sz w:val="24"/>
                <w:szCs w:val="24"/>
              </w:rPr>
              <w:t>评价内容</w:t>
            </w:r>
          </w:p>
        </w:tc>
        <w:tc>
          <w:tcPr>
            <w:tcW w:w="765" w:type="dxa"/>
            <w:noWrap w:val="0"/>
            <w:vAlign w:val="center"/>
          </w:tcPr>
          <w:p>
            <w:pPr>
              <w:jc w:val="center"/>
              <w:rPr>
                <w:rFonts w:hint="eastAsia" w:ascii="宋体" w:hAnsi="宋体" w:cs="宋体"/>
                <w:b/>
                <w:bCs/>
                <w:sz w:val="24"/>
                <w:szCs w:val="24"/>
              </w:rPr>
            </w:pPr>
            <w:r>
              <w:rPr>
                <w:rFonts w:hint="eastAsia" w:ascii="宋体" w:hAnsi="宋体" w:cs="宋体"/>
                <w:b/>
                <w:bCs/>
                <w:sz w:val="24"/>
                <w:szCs w:val="24"/>
              </w:rPr>
              <w:t>分值</w:t>
            </w:r>
          </w:p>
        </w:tc>
        <w:tc>
          <w:tcPr>
            <w:tcW w:w="5139" w:type="dxa"/>
            <w:noWrap w:val="0"/>
            <w:vAlign w:val="center"/>
          </w:tcPr>
          <w:p>
            <w:pPr>
              <w:jc w:val="center"/>
              <w:rPr>
                <w:rFonts w:hint="eastAsia" w:ascii="宋体" w:hAnsi="宋体" w:cs="宋体"/>
                <w:b/>
                <w:bCs/>
                <w:sz w:val="24"/>
                <w:szCs w:val="24"/>
              </w:rPr>
            </w:pPr>
            <w:r>
              <w:rPr>
                <w:rFonts w:hint="eastAsia" w:ascii="宋体" w:hAnsi="宋体" w:cs="宋体"/>
                <w:b/>
                <w:bCs/>
                <w:sz w:val="24"/>
                <w:szCs w:val="24"/>
              </w:rPr>
              <w:t>评价标准</w:t>
            </w:r>
          </w:p>
        </w:tc>
        <w:tc>
          <w:tcPr>
            <w:tcW w:w="752" w:type="dxa"/>
            <w:noWrap w:val="0"/>
            <w:vAlign w:val="center"/>
          </w:tcPr>
          <w:p>
            <w:pPr>
              <w:jc w:val="center"/>
              <w:rPr>
                <w:rFonts w:hint="eastAsia" w:ascii="宋体" w:hAnsi="宋体" w:cs="宋体"/>
                <w:b/>
                <w:bCs/>
                <w:sz w:val="24"/>
                <w:szCs w:val="24"/>
              </w:rPr>
            </w:pPr>
            <w:r>
              <w:rPr>
                <w:rFonts w:hint="eastAsia" w:ascii="宋体" w:hAnsi="宋体" w:cs="宋体"/>
                <w:b/>
                <w:bCs/>
                <w:sz w:val="24"/>
                <w:szCs w:val="24"/>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3" w:type="dxa"/>
            <w:noWrap w:val="0"/>
            <w:vAlign w:val="center"/>
          </w:tcPr>
          <w:p>
            <w:pPr>
              <w:jc w:val="center"/>
              <w:rPr>
                <w:rFonts w:hint="eastAsia" w:ascii="宋体" w:hAnsi="宋体" w:cs="宋体"/>
                <w:sz w:val="24"/>
                <w:szCs w:val="24"/>
              </w:rPr>
            </w:pPr>
            <w:r>
              <w:rPr>
                <w:rFonts w:hint="eastAsia" w:ascii="宋体" w:hAnsi="宋体" w:cs="宋体"/>
                <w:sz w:val="24"/>
                <w:szCs w:val="24"/>
              </w:rPr>
              <w:t>一</w:t>
            </w:r>
          </w:p>
        </w:tc>
        <w:tc>
          <w:tcPr>
            <w:tcW w:w="1266" w:type="dxa"/>
            <w:noWrap w:val="0"/>
            <w:vAlign w:val="center"/>
          </w:tcPr>
          <w:p>
            <w:pPr>
              <w:jc w:val="center"/>
              <w:rPr>
                <w:rFonts w:hint="eastAsia" w:ascii="宋体" w:hAnsi="宋体" w:cs="宋体"/>
                <w:sz w:val="24"/>
                <w:szCs w:val="24"/>
              </w:rPr>
            </w:pPr>
            <w:r>
              <w:rPr>
                <w:rFonts w:hint="eastAsia" w:ascii="宋体" w:hAnsi="宋体" w:cs="宋体"/>
                <w:sz w:val="24"/>
                <w:szCs w:val="24"/>
              </w:rPr>
              <w:t>人员配备</w:t>
            </w:r>
          </w:p>
        </w:tc>
        <w:tc>
          <w:tcPr>
            <w:tcW w:w="765" w:type="dxa"/>
            <w:noWrap w:val="0"/>
            <w:vAlign w:val="center"/>
          </w:tcPr>
          <w:p>
            <w:pPr>
              <w:jc w:val="center"/>
              <w:rPr>
                <w:rFonts w:hint="eastAsia" w:ascii="宋体" w:hAnsi="宋体" w:cs="宋体"/>
                <w:sz w:val="24"/>
                <w:szCs w:val="24"/>
              </w:rPr>
            </w:pPr>
            <w:r>
              <w:rPr>
                <w:rFonts w:hint="eastAsia" w:ascii="宋体" w:hAnsi="宋体" w:cs="宋体"/>
                <w:sz w:val="24"/>
                <w:szCs w:val="24"/>
              </w:rPr>
              <w:t>10</w:t>
            </w:r>
          </w:p>
        </w:tc>
        <w:tc>
          <w:tcPr>
            <w:tcW w:w="5139" w:type="dxa"/>
            <w:noWrap w:val="0"/>
            <w:vAlign w:val="top"/>
          </w:tcPr>
          <w:p>
            <w:pPr>
              <w:rPr>
                <w:rFonts w:hint="eastAsia" w:ascii="宋体" w:hAnsi="宋体" w:cs="宋体"/>
                <w:sz w:val="24"/>
                <w:szCs w:val="24"/>
              </w:rPr>
            </w:pPr>
            <w:r>
              <w:rPr>
                <w:rFonts w:hint="eastAsia" w:ascii="宋体" w:hAnsi="宋体" w:cs="宋体"/>
                <w:sz w:val="24"/>
                <w:szCs w:val="24"/>
              </w:rPr>
              <w:t>1．项目负责人固定且具有高度责任心、良好的组织协调能力和专业的业务水平。</w:t>
            </w:r>
          </w:p>
          <w:p>
            <w:pPr>
              <w:rPr>
                <w:rFonts w:hint="eastAsia" w:ascii="宋体" w:hAnsi="宋体" w:cs="宋体"/>
                <w:sz w:val="24"/>
                <w:szCs w:val="24"/>
              </w:rPr>
            </w:pPr>
            <w:r>
              <w:rPr>
                <w:rFonts w:hint="eastAsia" w:ascii="宋体" w:hAnsi="宋体" w:cs="宋体"/>
                <w:sz w:val="24"/>
                <w:szCs w:val="24"/>
              </w:rPr>
              <w:t>2．配置人员的专业能力满足审计工作要求且项目组成员稳定。</w:t>
            </w:r>
          </w:p>
          <w:p>
            <w:pPr>
              <w:rPr>
                <w:rFonts w:hint="eastAsia" w:ascii="宋体" w:hAnsi="宋体" w:cs="宋体"/>
                <w:sz w:val="24"/>
                <w:szCs w:val="24"/>
              </w:rPr>
            </w:pPr>
            <w:r>
              <w:rPr>
                <w:rFonts w:hint="eastAsia" w:ascii="宋体" w:hAnsi="宋体" w:cs="宋体"/>
                <w:sz w:val="24"/>
                <w:szCs w:val="24"/>
              </w:rPr>
              <w:t>总分 10分，在0-10分范围内评分。</w:t>
            </w:r>
          </w:p>
        </w:tc>
        <w:tc>
          <w:tcPr>
            <w:tcW w:w="752" w:type="dxa"/>
            <w:noWrap w:val="0"/>
            <w:vAlign w:val="top"/>
          </w:tcPr>
          <w:p>
            <w:pP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3" w:type="dxa"/>
            <w:noWrap w:val="0"/>
            <w:vAlign w:val="center"/>
          </w:tcPr>
          <w:p>
            <w:pPr>
              <w:jc w:val="center"/>
              <w:rPr>
                <w:rFonts w:hint="eastAsia" w:ascii="宋体" w:hAnsi="宋体" w:cs="宋体"/>
                <w:sz w:val="24"/>
                <w:szCs w:val="24"/>
              </w:rPr>
            </w:pPr>
            <w:r>
              <w:rPr>
                <w:rFonts w:hint="eastAsia" w:ascii="宋体" w:hAnsi="宋体" w:cs="宋体"/>
                <w:sz w:val="24"/>
                <w:szCs w:val="24"/>
              </w:rPr>
              <w:t>二</w:t>
            </w:r>
          </w:p>
        </w:tc>
        <w:tc>
          <w:tcPr>
            <w:tcW w:w="1266" w:type="dxa"/>
            <w:noWrap w:val="0"/>
            <w:vAlign w:val="center"/>
          </w:tcPr>
          <w:p>
            <w:pPr>
              <w:jc w:val="center"/>
              <w:rPr>
                <w:rFonts w:hint="eastAsia" w:ascii="宋体" w:hAnsi="宋体" w:cs="宋体"/>
                <w:sz w:val="24"/>
                <w:szCs w:val="24"/>
              </w:rPr>
            </w:pPr>
            <w:r>
              <w:rPr>
                <w:rFonts w:hint="eastAsia" w:ascii="宋体" w:hAnsi="宋体" w:cs="宋体"/>
                <w:sz w:val="24"/>
                <w:szCs w:val="24"/>
              </w:rPr>
              <w:t>工作质量</w:t>
            </w:r>
          </w:p>
        </w:tc>
        <w:tc>
          <w:tcPr>
            <w:tcW w:w="765" w:type="dxa"/>
            <w:noWrap w:val="0"/>
            <w:vAlign w:val="center"/>
          </w:tcPr>
          <w:p>
            <w:pPr>
              <w:jc w:val="center"/>
              <w:rPr>
                <w:rFonts w:hint="eastAsia" w:ascii="宋体" w:hAnsi="宋体" w:cs="宋体"/>
                <w:sz w:val="24"/>
                <w:szCs w:val="24"/>
              </w:rPr>
            </w:pPr>
            <w:r>
              <w:rPr>
                <w:rFonts w:hint="eastAsia" w:ascii="宋体" w:hAnsi="宋体" w:cs="宋体"/>
                <w:sz w:val="24"/>
                <w:szCs w:val="24"/>
              </w:rPr>
              <w:t>50</w:t>
            </w:r>
          </w:p>
        </w:tc>
        <w:tc>
          <w:tcPr>
            <w:tcW w:w="5139" w:type="dxa"/>
            <w:noWrap w:val="0"/>
            <w:vAlign w:val="top"/>
          </w:tcPr>
          <w:p>
            <w:pPr>
              <w:rPr>
                <w:rFonts w:hint="eastAsia" w:ascii="宋体" w:hAnsi="宋体" w:cs="宋体"/>
                <w:sz w:val="24"/>
                <w:szCs w:val="24"/>
              </w:rPr>
            </w:pPr>
            <w:r>
              <w:rPr>
                <w:rFonts w:hint="eastAsia" w:ascii="宋体" w:hAnsi="宋体" w:cs="宋体"/>
                <w:sz w:val="24"/>
                <w:szCs w:val="24"/>
              </w:rPr>
              <w:t>1．按委托单位要求，在规定时问内完成委托的工作。</w:t>
            </w:r>
          </w:p>
          <w:p>
            <w:pPr>
              <w:rPr>
                <w:rFonts w:hint="eastAsia" w:ascii="宋体" w:hAnsi="宋体" w:cs="宋体"/>
                <w:sz w:val="24"/>
                <w:szCs w:val="24"/>
              </w:rPr>
            </w:pPr>
            <w:r>
              <w:rPr>
                <w:rFonts w:hint="eastAsia" w:ascii="宋体" w:hAnsi="宋体" w:cs="宋体"/>
                <w:sz w:val="24"/>
                <w:szCs w:val="24"/>
              </w:rPr>
              <w:t>2．能够及时发现、解决问题，针对问题能够提出合理建议。</w:t>
            </w:r>
          </w:p>
          <w:p>
            <w:pPr>
              <w:rPr>
                <w:rFonts w:hint="eastAsia" w:ascii="宋体" w:hAnsi="宋体" w:cs="宋体"/>
                <w:sz w:val="24"/>
                <w:szCs w:val="24"/>
              </w:rPr>
            </w:pPr>
            <w:r>
              <w:rPr>
                <w:rFonts w:hint="eastAsia" w:ascii="宋体" w:hAnsi="宋体" w:cs="宋体"/>
                <w:sz w:val="24"/>
                <w:szCs w:val="24"/>
              </w:rPr>
              <w:t>3．熟练掌握与业务相关的法律法规及相关规定，审计依据合法合规，完全符合现行的有关规定；审计结论相对公允。</w:t>
            </w:r>
          </w:p>
          <w:p>
            <w:pPr>
              <w:rPr>
                <w:rFonts w:hint="eastAsia" w:ascii="宋体" w:hAnsi="宋体" w:cs="宋体"/>
                <w:sz w:val="24"/>
                <w:szCs w:val="24"/>
              </w:rPr>
            </w:pPr>
            <w:r>
              <w:rPr>
                <w:rFonts w:hint="eastAsia" w:ascii="宋体" w:hAnsi="宋体" w:cs="宋体"/>
                <w:sz w:val="24"/>
                <w:szCs w:val="24"/>
              </w:rPr>
              <w:t>4．专业工具及软件配备齐全，在工作中充分应用，提高工作质量和效率。</w:t>
            </w:r>
          </w:p>
          <w:p>
            <w:pPr>
              <w:rPr>
                <w:rFonts w:hint="eastAsia" w:ascii="宋体" w:hAnsi="宋体" w:cs="宋体"/>
                <w:sz w:val="24"/>
                <w:szCs w:val="24"/>
              </w:rPr>
            </w:pPr>
            <w:r>
              <w:rPr>
                <w:rFonts w:hint="eastAsia" w:ascii="宋体" w:hAnsi="宋体" w:cs="宋体"/>
                <w:sz w:val="24"/>
                <w:szCs w:val="24"/>
              </w:rPr>
              <w:t>5．审计结论严瑾，反映事实清楚，问题定性准确，审计建议可执行。</w:t>
            </w:r>
          </w:p>
          <w:p>
            <w:pPr>
              <w:rPr>
                <w:rFonts w:hint="eastAsia" w:ascii="宋体" w:hAnsi="宋体" w:cs="宋体"/>
                <w:sz w:val="24"/>
                <w:szCs w:val="24"/>
              </w:rPr>
            </w:pPr>
            <w:r>
              <w:rPr>
                <w:rFonts w:hint="eastAsia" w:ascii="宋体" w:hAnsi="宋体" w:cs="宋体"/>
                <w:sz w:val="24"/>
                <w:szCs w:val="24"/>
              </w:rPr>
              <w:t>总分 50分，在0-50分范围内评分。</w:t>
            </w:r>
          </w:p>
        </w:tc>
        <w:tc>
          <w:tcPr>
            <w:tcW w:w="752" w:type="dxa"/>
            <w:noWrap w:val="0"/>
            <w:vAlign w:val="top"/>
          </w:tcPr>
          <w:p>
            <w:pP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3" w:type="dxa"/>
            <w:noWrap w:val="0"/>
            <w:vAlign w:val="center"/>
          </w:tcPr>
          <w:p>
            <w:pPr>
              <w:jc w:val="center"/>
              <w:rPr>
                <w:rFonts w:hint="eastAsia" w:ascii="宋体" w:hAnsi="宋体" w:cs="宋体"/>
                <w:sz w:val="24"/>
                <w:szCs w:val="24"/>
              </w:rPr>
            </w:pPr>
            <w:r>
              <w:rPr>
                <w:rFonts w:hint="eastAsia" w:ascii="宋体" w:hAnsi="宋体" w:cs="宋体"/>
                <w:sz w:val="24"/>
                <w:szCs w:val="24"/>
              </w:rPr>
              <w:t>三</w:t>
            </w:r>
          </w:p>
        </w:tc>
        <w:tc>
          <w:tcPr>
            <w:tcW w:w="1266" w:type="dxa"/>
            <w:noWrap w:val="0"/>
            <w:vAlign w:val="center"/>
          </w:tcPr>
          <w:p>
            <w:pPr>
              <w:jc w:val="center"/>
              <w:rPr>
                <w:rFonts w:hint="eastAsia" w:ascii="宋体" w:hAnsi="宋体" w:cs="宋体"/>
                <w:sz w:val="24"/>
                <w:szCs w:val="24"/>
              </w:rPr>
            </w:pPr>
            <w:r>
              <w:rPr>
                <w:rFonts w:hint="eastAsia" w:ascii="宋体" w:hAnsi="宋体" w:cs="宋体"/>
                <w:sz w:val="24"/>
                <w:szCs w:val="24"/>
              </w:rPr>
              <w:t>业务协调</w:t>
            </w:r>
          </w:p>
        </w:tc>
        <w:tc>
          <w:tcPr>
            <w:tcW w:w="765" w:type="dxa"/>
            <w:noWrap w:val="0"/>
            <w:vAlign w:val="center"/>
          </w:tcPr>
          <w:p>
            <w:pPr>
              <w:jc w:val="center"/>
              <w:rPr>
                <w:rFonts w:hint="eastAsia" w:ascii="宋体" w:hAnsi="宋体" w:cs="宋体"/>
                <w:sz w:val="24"/>
                <w:szCs w:val="24"/>
              </w:rPr>
            </w:pPr>
            <w:r>
              <w:rPr>
                <w:rFonts w:hint="eastAsia" w:ascii="宋体" w:hAnsi="宋体" w:cs="宋体"/>
                <w:sz w:val="24"/>
                <w:szCs w:val="24"/>
              </w:rPr>
              <w:t>10</w:t>
            </w:r>
          </w:p>
        </w:tc>
        <w:tc>
          <w:tcPr>
            <w:tcW w:w="5139" w:type="dxa"/>
            <w:noWrap w:val="0"/>
            <w:vAlign w:val="top"/>
          </w:tcPr>
          <w:p>
            <w:pPr>
              <w:rPr>
                <w:rFonts w:hint="eastAsia" w:ascii="宋体" w:hAnsi="宋体" w:cs="宋体"/>
                <w:sz w:val="24"/>
                <w:szCs w:val="24"/>
              </w:rPr>
            </w:pPr>
            <w:r>
              <w:rPr>
                <w:rFonts w:hint="eastAsia" w:ascii="宋体" w:hAnsi="宋体" w:cs="宋体"/>
                <w:sz w:val="24"/>
                <w:szCs w:val="24"/>
              </w:rPr>
              <w:t>能够及时、有效与相关单位协调处理，完成各阶段审计工作。</w:t>
            </w:r>
          </w:p>
          <w:p>
            <w:pPr>
              <w:rPr>
                <w:rFonts w:hint="eastAsia" w:ascii="宋体" w:hAnsi="宋体" w:cs="宋体"/>
                <w:sz w:val="24"/>
                <w:szCs w:val="24"/>
              </w:rPr>
            </w:pPr>
            <w:r>
              <w:rPr>
                <w:rFonts w:hint="eastAsia" w:ascii="宋体" w:hAnsi="宋体" w:cs="宋体"/>
                <w:sz w:val="24"/>
                <w:szCs w:val="24"/>
              </w:rPr>
              <w:t>总分 10分，在 0-10分范围内评分。</w:t>
            </w:r>
          </w:p>
        </w:tc>
        <w:tc>
          <w:tcPr>
            <w:tcW w:w="752" w:type="dxa"/>
            <w:noWrap w:val="0"/>
            <w:vAlign w:val="top"/>
          </w:tcPr>
          <w:p>
            <w:pP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3" w:type="dxa"/>
            <w:noWrap w:val="0"/>
            <w:vAlign w:val="center"/>
          </w:tcPr>
          <w:p>
            <w:pPr>
              <w:jc w:val="center"/>
              <w:rPr>
                <w:rFonts w:hint="eastAsia" w:ascii="宋体" w:hAnsi="宋体" w:cs="宋体"/>
                <w:sz w:val="24"/>
                <w:szCs w:val="24"/>
              </w:rPr>
            </w:pPr>
            <w:r>
              <w:rPr>
                <w:rFonts w:hint="eastAsia" w:ascii="宋体" w:hAnsi="宋体" w:cs="宋体"/>
                <w:sz w:val="24"/>
                <w:szCs w:val="24"/>
              </w:rPr>
              <w:t>四</w:t>
            </w:r>
          </w:p>
        </w:tc>
        <w:tc>
          <w:tcPr>
            <w:tcW w:w="1266" w:type="dxa"/>
            <w:noWrap w:val="0"/>
            <w:vAlign w:val="center"/>
          </w:tcPr>
          <w:p>
            <w:pPr>
              <w:jc w:val="center"/>
              <w:rPr>
                <w:rFonts w:hint="eastAsia" w:ascii="宋体" w:hAnsi="宋体" w:cs="宋体"/>
                <w:sz w:val="24"/>
                <w:szCs w:val="24"/>
              </w:rPr>
            </w:pPr>
            <w:r>
              <w:rPr>
                <w:rFonts w:hint="eastAsia" w:ascii="宋体" w:hAnsi="宋体" w:cs="宋体"/>
                <w:sz w:val="24"/>
                <w:szCs w:val="24"/>
              </w:rPr>
              <w:t>履约情况</w:t>
            </w:r>
          </w:p>
        </w:tc>
        <w:tc>
          <w:tcPr>
            <w:tcW w:w="765" w:type="dxa"/>
            <w:noWrap w:val="0"/>
            <w:vAlign w:val="center"/>
          </w:tcPr>
          <w:p>
            <w:pPr>
              <w:jc w:val="center"/>
              <w:rPr>
                <w:rFonts w:hint="eastAsia" w:ascii="宋体" w:hAnsi="宋体" w:cs="宋体"/>
                <w:sz w:val="24"/>
                <w:szCs w:val="24"/>
              </w:rPr>
            </w:pPr>
            <w:r>
              <w:rPr>
                <w:rFonts w:hint="eastAsia" w:ascii="宋体" w:hAnsi="宋体" w:cs="宋体"/>
                <w:sz w:val="24"/>
                <w:szCs w:val="24"/>
              </w:rPr>
              <w:t>20</w:t>
            </w:r>
          </w:p>
        </w:tc>
        <w:tc>
          <w:tcPr>
            <w:tcW w:w="5139" w:type="dxa"/>
            <w:noWrap w:val="0"/>
            <w:vAlign w:val="top"/>
          </w:tcPr>
          <w:p>
            <w:pPr>
              <w:rPr>
                <w:rFonts w:hint="eastAsia" w:ascii="宋体" w:hAnsi="宋体" w:cs="宋体"/>
                <w:sz w:val="24"/>
                <w:szCs w:val="24"/>
              </w:rPr>
            </w:pPr>
            <w:r>
              <w:rPr>
                <w:rFonts w:hint="eastAsia" w:ascii="宋体" w:hAnsi="宋体" w:cs="宋体"/>
                <w:sz w:val="24"/>
                <w:szCs w:val="24"/>
              </w:rPr>
              <w:t>项目人员能够认真主动的按合同要求到现场调查了解事实情况，解决相关问题、积极配合委托人及审计对象工作、按合同约定时限完成委托人交办的工作。</w:t>
            </w:r>
          </w:p>
          <w:p>
            <w:pPr>
              <w:rPr>
                <w:rFonts w:hint="eastAsia" w:ascii="宋体" w:hAnsi="宋体" w:cs="宋体"/>
                <w:sz w:val="24"/>
                <w:szCs w:val="24"/>
              </w:rPr>
            </w:pPr>
            <w:r>
              <w:rPr>
                <w:rFonts w:hint="eastAsia" w:ascii="宋体" w:hAnsi="宋体" w:cs="宋体"/>
                <w:sz w:val="24"/>
                <w:szCs w:val="24"/>
              </w:rPr>
              <w:t>总分 20分，在 0-20分范围内评分。</w:t>
            </w:r>
          </w:p>
        </w:tc>
        <w:tc>
          <w:tcPr>
            <w:tcW w:w="752" w:type="dxa"/>
            <w:noWrap w:val="0"/>
            <w:vAlign w:val="top"/>
          </w:tcPr>
          <w:p>
            <w:pP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3" w:type="dxa"/>
            <w:noWrap w:val="0"/>
            <w:vAlign w:val="center"/>
          </w:tcPr>
          <w:p>
            <w:pPr>
              <w:jc w:val="center"/>
              <w:rPr>
                <w:rFonts w:hint="eastAsia" w:ascii="宋体" w:hAnsi="宋体" w:cs="宋体"/>
                <w:sz w:val="24"/>
                <w:szCs w:val="24"/>
              </w:rPr>
            </w:pPr>
            <w:r>
              <w:rPr>
                <w:rFonts w:hint="eastAsia" w:ascii="宋体" w:hAnsi="宋体" w:cs="宋体"/>
                <w:sz w:val="24"/>
                <w:szCs w:val="24"/>
              </w:rPr>
              <w:t>五</w:t>
            </w:r>
          </w:p>
        </w:tc>
        <w:tc>
          <w:tcPr>
            <w:tcW w:w="1266" w:type="dxa"/>
            <w:noWrap w:val="0"/>
            <w:vAlign w:val="center"/>
          </w:tcPr>
          <w:p>
            <w:pPr>
              <w:jc w:val="center"/>
              <w:rPr>
                <w:rFonts w:hint="eastAsia" w:ascii="宋体" w:hAnsi="宋体" w:cs="宋体"/>
                <w:sz w:val="24"/>
                <w:szCs w:val="24"/>
              </w:rPr>
            </w:pPr>
            <w:r>
              <w:rPr>
                <w:rFonts w:hint="eastAsia" w:ascii="宋体" w:hAnsi="宋体" w:cs="宋体"/>
                <w:sz w:val="24"/>
                <w:szCs w:val="24"/>
              </w:rPr>
              <w:t>遵守纪律</w:t>
            </w:r>
          </w:p>
        </w:tc>
        <w:tc>
          <w:tcPr>
            <w:tcW w:w="765" w:type="dxa"/>
            <w:noWrap w:val="0"/>
            <w:vAlign w:val="center"/>
          </w:tcPr>
          <w:p>
            <w:pPr>
              <w:jc w:val="center"/>
              <w:rPr>
                <w:rFonts w:hint="eastAsia" w:ascii="宋体" w:hAnsi="宋体" w:cs="宋体"/>
                <w:sz w:val="24"/>
                <w:szCs w:val="24"/>
              </w:rPr>
            </w:pPr>
            <w:r>
              <w:rPr>
                <w:rFonts w:hint="eastAsia" w:ascii="宋体" w:hAnsi="宋体" w:cs="宋体"/>
                <w:sz w:val="24"/>
                <w:szCs w:val="24"/>
              </w:rPr>
              <w:t>10</w:t>
            </w:r>
          </w:p>
        </w:tc>
        <w:tc>
          <w:tcPr>
            <w:tcW w:w="5139" w:type="dxa"/>
            <w:noWrap w:val="0"/>
            <w:vAlign w:val="top"/>
          </w:tcPr>
          <w:p>
            <w:pPr>
              <w:rPr>
                <w:rFonts w:hint="eastAsia" w:ascii="宋体" w:hAnsi="宋体" w:cs="宋体"/>
                <w:sz w:val="24"/>
                <w:szCs w:val="24"/>
              </w:rPr>
            </w:pPr>
            <w:r>
              <w:rPr>
                <w:rFonts w:hint="eastAsia" w:ascii="宋体" w:hAnsi="宋体" w:cs="宋体"/>
                <w:sz w:val="24"/>
                <w:szCs w:val="24"/>
              </w:rPr>
              <w:t>能够遵守委托人要求的工作纪律及廉洁纪律。</w:t>
            </w:r>
          </w:p>
          <w:p>
            <w:pPr>
              <w:rPr>
                <w:rFonts w:hint="eastAsia" w:ascii="宋体" w:hAnsi="宋体" w:cs="宋体"/>
                <w:sz w:val="24"/>
                <w:szCs w:val="24"/>
              </w:rPr>
            </w:pPr>
            <w:r>
              <w:rPr>
                <w:rFonts w:hint="eastAsia" w:ascii="宋体" w:hAnsi="宋体" w:cs="宋体"/>
                <w:sz w:val="24"/>
                <w:szCs w:val="24"/>
              </w:rPr>
              <w:t>总分 10分，在0-10分范围内评分。</w:t>
            </w:r>
          </w:p>
        </w:tc>
        <w:tc>
          <w:tcPr>
            <w:tcW w:w="752" w:type="dxa"/>
            <w:noWrap w:val="0"/>
            <w:vAlign w:val="top"/>
          </w:tcPr>
          <w:p>
            <w:pPr>
              <w:rPr>
                <w:rFonts w:hint="eastAsia" w:ascii="宋体" w:hAnsi="宋体" w:cs="宋体"/>
                <w:sz w:val="24"/>
                <w:szCs w:val="24"/>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宋体" w:hAnsi="宋体" w:eastAsia="宋体" w:cs="宋体"/>
          <w:sz w:val="28"/>
          <w:szCs w:val="28"/>
          <w:highlight w:val="none"/>
          <w:lang w:val="en-US" w:eastAsia="zh-C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RhZDBkZDkwNDZlZDExYzFkOTc4ZWIwMjc2MDAifQ=="/>
  </w:docVars>
  <w:rsids>
    <w:rsidRoot w:val="66074404"/>
    <w:rsid w:val="660744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7"/>
    <w:qFormat/>
    <w:uiPriority w:val="0"/>
    <w:pPr>
      <w:keepNext/>
      <w:keepLines/>
      <w:spacing w:before="340" w:beforeLines="0" w:after="330" w:afterLines="0" w:line="578" w:lineRule="auto"/>
      <w:outlineLvl w:val="0"/>
    </w:pPr>
    <w:rPr>
      <w:b/>
      <w:bCs/>
      <w:kern w:val="44"/>
      <w:sz w:val="44"/>
      <w:szCs w:val="44"/>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99"/>
    <w:pPr>
      <w:ind w:firstLine="420" w:firstLineChars="200"/>
    </w:pPr>
    <w:rPr>
      <w:kern w:val="0"/>
      <w:sz w:val="24"/>
      <w:szCs w:val="20"/>
    </w:rPr>
  </w:style>
  <w:style w:type="paragraph" w:styleId="4">
    <w:name w:val="Body Text"/>
    <w:basedOn w:val="1"/>
    <w:next w:val="1"/>
    <w:uiPriority w:val="0"/>
    <w:pPr>
      <w:jc w:val="left"/>
    </w:pPr>
    <w:rPr>
      <w:rFonts w:ascii="Arial" w:hAnsi="Arial" w:eastAsia="黑体"/>
      <w:b/>
      <w:kern w:val="0"/>
      <w:sz w:val="32"/>
      <w:szCs w:val="20"/>
    </w:rPr>
  </w:style>
  <w:style w:type="character" w:customStyle="1" w:styleId="7">
    <w:name w:val="标题 1 Char"/>
    <w:basedOn w:val="6"/>
    <w:link w:val="3"/>
    <w:locked/>
    <w:uiPriority w:val="0"/>
    <w:rPr>
      <w:b/>
      <w:bCs/>
      <w:kern w:val="44"/>
      <w:sz w:val="44"/>
      <w:szCs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2024-06-11T03:23:00Z</dcterms:created>
  <dc:creator>高杨</dc:creator>
  <cp:lastModifiedBy>高杨</cp:lastModifiedBy>
  <dcterms:modified xsi:type="dcterms:W3CDTF">2024-06-11T03:23:34Z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EE164CB940CF4C378B0283EDFD6820CB_11</vt:lpwstr>
  </property>
</Properties>
</file>