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5" w:line="228" w:lineRule="auto"/>
        <w:ind w:left="27"/>
        <w:rPr>
          <w:rFonts w:ascii="宋体" w:hAnsi="宋体" w:eastAsia="宋体" w:cs="宋体"/>
          <w:b/>
          <w:bCs/>
          <w:spacing w:val="7"/>
          <w:sz w:val="24"/>
          <w:szCs w:val="24"/>
          <w:lang w:eastAsia="zh-CN"/>
          <w14:textOutline w14:w="3797" w14:cap="sq" w14:cmpd="sng" w14:algn="ctr">
            <w14:solidFill>
              <w14:srgbClr w14:val="000000"/>
            </w14:solidFill>
            <w14:prstDash w14:val="solid"/>
            <w14:bevel/>
          </w14:textOutline>
        </w:rPr>
      </w:pPr>
      <w:r>
        <w:rPr>
          <w:rFonts w:hint="eastAsia" w:ascii="宋体" w:hAnsi="宋体" w:eastAsia="宋体" w:cs="宋体"/>
          <w:spacing w:val="7"/>
          <w:sz w:val="24"/>
          <w:szCs w:val="24"/>
          <w:lang w:eastAsia="zh-CN"/>
          <w14:textOutline w14:w="3797" w14:cap="sq" w14:cmpd="sng" w14:algn="ctr">
            <w14:solidFill>
              <w14:srgbClr w14:val="000000"/>
            </w14:solidFill>
            <w14:prstDash w14:val="solid"/>
            <w14:bevel/>
          </w14:textOutline>
        </w:rPr>
        <w:t>电池更换：拆除并</w:t>
      </w:r>
      <w:r>
        <w:rPr>
          <w:rFonts w:hint="eastAsia" w:ascii="宋体" w:hAnsi="宋体" w:eastAsia="宋体" w:cs="宋体"/>
          <w:b/>
          <w:bCs/>
          <w:spacing w:val="7"/>
          <w:sz w:val="24"/>
          <w:szCs w:val="24"/>
          <w:lang w:eastAsia="zh-CN"/>
          <w14:textOutline w14:w="3797" w14:cap="sq" w14:cmpd="sng" w14:algn="ctr">
            <w14:solidFill>
              <w14:srgbClr w14:val="000000"/>
            </w14:solidFill>
            <w14:prstDash w14:val="solid"/>
            <w14:bevel/>
          </w14:textOutline>
        </w:rPr>
        <w:t xml:space="preserve">更换 </w:t>
      </w:r>
      <w:r>
        <w:rPr>
          <w:rFonts w:hint="eastAsia" w:ascii="宋体" w:hAnsi="宋体" w:eastAsia="宋体" w:cs="宋体"/>
          <w:b/>
          <w:bCs/>
          <w:color w:val="E54C5E" w:themeColor="accent6"/>
          <w:spacing w:val="7"/>
          <w:sz w:val="24"/>
          <w:szCs w:val="24"/>
          <w:lang w:eastAsia="zh-CN"/>
          <w14:textOutline w14:w="3797" w14:cap="sq" w14:cmpd="sng" w14:algn="ctr">
            <w14:solidFill>
              <w14:srgbClr w14:val="000000"/>
            </w14:solidFill>
            <w14:prstDash w14:val="solid"/>
            <w14:bevel/>
          </w14:textOutline>
          <w14:textFill>
            <w14:solidFill>
              <w14:schemeClr w14:val="accent6"/>
            </w14:solidFill>
          </w14:textFill>
        </w:rPr>
        <w:t>452节电池</w:t>
      </w:r>
      <w:r>
        <w:rPr>
          <w:rFonts w:hint="eastAsia" w:ascii="宋体" w:hAnsi="宋体" w:eastAsia="宋体" w:cs="宋体"/>
          <w:b/>
          <w:bCs/>
          <w:spacing w:val="7"/>
          <w:sz w:val="24"/>
          <w:szCs w:val="24"/>
          <w:lang w:eastAsia="zh-CN"/>
          <w14:textOutline w14:w="3797" w14:cap="sq" w14:cmpd="sng" w14:algn="ctr">
            <w14:solidFill>
              <w14:srgbClr w14:val="000000"/>
            </w14:solidFill>
            <w14:prstDash w14:val="solid"/>
            <w14:bevel/>
          </w14:textOutline>
        </w:rPr>
        <w:t>，其中420节电池规格12V 100AH，32节12V 65AH</w:t>
      </w:r>
    </w:p>
    <w:p>
      <w:pPr>
        <w:numPr>
          <w:ilvl w:val="0"/>
          <w:numId w:val="1"/>
        </w:numPr>
        <w:spacing w:before="312" w:beforeLines="100" w:after="312" w:afterLines="100" w:line="360" w:lineRule="auto"/>
        <w:ind w:firstLine="0"/>
        <w:jc w:val="center"/>
        <w:outlineLvl w:val="2"/>
        <w:rPr>
          <w:rFonts w:ascii="宋体" w:hAnsi="宋体" w:eastAsia="宋体" w:cs="宋体"/>
          <w:spacing w:val="8"/>
          <w:sz w:val="24"/>
          <w:szCs w:val="24"/>
          <w14:textOutline w14:w="3797" w14:cap="sq" w14:cmpd="sng" w14:algn="ctr">
            <w14:solidFill>
              <w14:srgbClr w14:val="000000"/>
            </w14:solidFill>
            <w14:prstDash w14:val="solid"/>
            <w14:bevel/>
          </w14:textOutline>
        </w:rPr>
      </w:pPr>
      <w:r>
        <w:rPr>
          <w:rFonts w:hint="eastAsia" w:ascii="宋体" w:hAnsi="宋体" w:eastAsia="宋体" w:cs="宋体"/>
          <w:spacing w:val="8"/>
          <w:sz w:val="24"/>
          <w:szCs w:val="24"/>
          <w14:textOutline w14:w="3797" w14:cap="sq" w14:cmpd="sng" w14:algn="ctr">
            <w14:solidFill>
              <w14:srgbClr w14:val="000000"/>
            </w14:solidFill>
            <w14:prstDash w14:val="solid"/>
            <w14:bevel/>
          </w14:textOutline>
        </w:rPr>
        <w:t>蓄电池需求</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一、投标产品制造商资格要求</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投标产品必须满足以下要求，不满足视为无效投标。</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本项目不接受未通过中华人民共和国工业和信息化部和生态环境部共同颁布的《铅蓄电池行业规范条件（2015年本）》的制造商，投标人须提供蓄电池制造商在国家工信部网站上的符合《铅蓄电池行业规范条件（2015年本）》企业名单的公告截图。</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★2、本项目不接受 OEM 代加工生产的蓄电池产品，投标人须提供蓄电池的商标注册证及生产企业的全国排污许可证，商标注册证与排污许可证上单位名称一致。</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二．投标产品技术要求</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1、主机参数明细表：</w:t>
      </w:r>
    </w:p>
    <w:tbl>
      <w:tblPr>
        <w:tblStyle w:val="5"/>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0"/>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29" w:type="dxa"/>
          </w:tcPr>
          <w:p>
            <w:pPr>
              <w:widowControl w:val="0"/>
              <w:kinsoku/>
              <w:autoSpaceDE/>
              <w:autoSpaceDN/>
              <w:adjustRightInd/>
              <w:snapToGrid/>
              <w:spacing w:line="360" w:lineRule="auto"/>
              <w:jc w:val="center"/>
              <w:textAlignment w:val="auto"/>
              <w:rPr>
                <w:rFonts w:ascii="宋体" w:hAnsi="宋体" w:eastAsia="宋体" w:cs="宋体"/>
                <w:b/>
                <w:bCs/>
                <w:sz w:val="24"/>
                <w:szCs w:val="24"/>
                <w:highlight w:val="yellow"/>
                <w:lang w:eastAsia="zh-CN"/>
              </w:rPr>
            </w:pPr>
            <w:r>
              <w:rPr>
                <w:rFonts w:hint="eastAsia" w:ascii="宋体" w:hAnsi="宋体" w:eastAsia="宋体" w:cs="宋体"/>
                <w:b/>
                <w:bCs/>
                <w:sz w:val="24"/>
                <w:szCs w:val="24"/>
                <w:highlight w:val="yellow"/>
                <w:lang w:eastAsia="zh-CN"/>
              </w:rPr>
              <w:t>使用场所</w:t>
            </w:r>
          </w:p>
        </w:tc>
        <w:tc>
          <w:tcPr>
            <w:tcW w:w="2130" w:type="dxa"/>
          </w:tcPr>
          <w:p>
            <w:pPr>
              <w:widowControl w:val="0"/>
              <w:kinsoku/>
              <w:autoSpaceDE/>
              <w:autoSpaceDN/>
              <w:adjustRightInd/>
              <w:snapToGrid/>
              <w:spacing w:line="360" w:lineRule="auto"/>
              <w:jc w:val="center"/>
              <w:textAlignment w:val="auto"/>
              <w:rPr>
                <w:rFonts w:ascii="宋体" w:hAnsi="宋体" w:eastAsia="宋体" w:cs="宋体"/>
                <w:b/>
                <w:bCs/>
                <w:sz w:val="24"/>
                <w:szCs w:val="24"/>
                <w:highlight w:val="yellow"/>
                <w:lang w:eastAsia="zh-CN"/>
              </w:rPr>
            </w:pPr>
            <w:r>
              <w:rPr>
                <w:rFonts w:hint="eastAsia" w:ascii="宋体" w:hAnsi="宋体" w:eastAsia="宋体" w:cs="宋体"/>
                <w:b/>
                <w:bCs/>
                <w:sz w:val="24"/>
                <w:szCs w:val="24"/>
                <w:highlight w:val="yellow"/>
                <w:lang w:eastAsia="zh-CN"/>
              </w:rPr>
              <w:t>规格参数</w:t>
            </w:r>
          </w:p>
        </w:tc>
        <w:tc>
          <w:tcPr>
            <w:tcW w:w="2130" w:type="dxa"/>
          </w:tcPr>
          <w:p>
            <w:pPr>
              <w:widowControl w:val="0"/>
              <w:kinsoku/>
              <w:autoSpaceDE/>
              <w:autoSpaceDN/>
              <w:adjustRightInd/>
              <w:snapToGrid/>
              <w:spacing w:line="360" w:lineRule="auto"/>
              <w:jc w:val="center"/>
              <w:textAlignment w:val="auto"/>
              <w:rPr>
                <w:rFonts w:ascii="宋体" w:hAnsi="宋体" w:eastAsia="宋体" w:cs="宋体"/>
                <w:b/>
                <w:bCs/>
                <w:sz w:val="24"/>
                <w:szCs w:val="24"/>
                <w:highlight w:val="yellow"/>
                <w:lang w:eastAsia="zh-CN"/>
              </w:rPr>
            </w:pPr>
            <w:r>
              <w:rPr>
                <w:rFonts w:hint="eastAsia" w:ascii="宋体" w:hAnsi="宋体" w:eastAsia="宋体" w:cs="宋体"/>
                <w:b/>
                <w:bCs/>
                <w:sz w:val="24"/>
                <w:szCs w:val="24"/>
                <w:highlight w:val="yellow"/>
                <w:lang w:eastAsia="zh-CN"/>
              </w:rPr>
              <w:t>所供主机品牌</w:t>
            </w:r>
          </w:p>
        </w:tc>
        <w:tc>
          <w:tcPr>
            <w:tcW w:w="2130" w:type="dxa"/>
          </w:tcPr>
          <w:p>
            <w:pPr>
              <w:widowControl w:val="0"/>
              <w:kinsoku/>
              <w:autoSpaceDE/>
              <w:autoSpaceDN/>
              <w:adjustRightInd/>
              <w:snapToGrid/>
              <w:spacing w:line="360" w:lineRule="auto"/>
              <w:jc w:val="center"/>
              <w:textAlignment w:val="auto"/>
              <w:rPr>
                <w:rFonts w:ascii="宋体" w:hAnsi="宋体" w:eastAsia="宋体" w:cs="宋体"/>
                <w:b/>
                <w:bCs/>
                <w:sz w:val="24"/>
                <w:szCs w:val="24"/>
                <w:highlight w:val="yellow"/>
                <w:lang w:eastAsia="zh-CN"/>
              </w:rPr>
            </w:pPr>
            <w:r>
              <w:rPr>
                <w:rFonts w:hint="eastAsia" w:ascii="宋体" w:hAnsi="宋体" w:eastAsia="宋体" w:cs="宋体"/>
                <w:b/>
                <w:bCs/>
                <w:sz w:val="24"/>
                <w:szCs w:val="24"/>
                <w:highlight w:val="yellow"/>
                <w:lang w:eastAsia="zh-CN"/>
              </w:rPr>
              <w:t>电池数量（节）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检验科</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rPr>
              <w:t>12V</w:t>
            </w:r>
            <w:r>
              <w:rPr>
                <w:rFonts w:hint="eastAsia" w:ascii="宋体" w:hAnsi="宋体" w:eastAsia="宋体" w:cs="宋体"/>
                <w:sz w:val="24"/>
                <w:szCs w:val="24"/>
                <w:highlight w:val="yellow"/>
                <w:lang w:eastAsia="zh-CN"/>
              </w:rPr>
              <w:t xml:space="preserve"> </w:t>
            </w:r>
            <w:r>
              <w:rPr>
                <w:rFonts w:hint="eastAsia" w:ascii="宋体" w:hAnsi="宋体" w:eastAsia="宋体" w:cs="宋体"/>
                <w:sz w:val="24"/>
                <w:szCs w:val="24"/>
                <w:highlight w:val="yellow"/>
              </w:rPr>
              <w:t>100AH</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PCM</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DSA导管室</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rPr>
              <w:t>12V</w:t>
            </w:r>
            <w:r>
              <w:rPr>
                <w:rFonts w:hint="eastAsia" w:ascii="宋体" w:hAnsi="宋体" w:eastAsia="宋体" w:cs="宋体"/>
                <w:sz w:val="24"/>
                <w:szCs w:val="24"/>
                <w:highlight w:val="yellow"/>
                <w:lang w:eastAsia="zh-CN"/>
              </w:rPr>
              <w:t xml:space="preserve"> </w:t>
            </w:r>
            <w:r>
              <w:rPr>
                <w:rFonts w:hint="eastAsia" w:ascii="宋体" w:hAnsi="宋体" w:eastAsia="宋体" w:cs="宋体"/>
                <w:sz w:val="24"/>
                <w:szCs w:val="24"/>
                <w:highlight w:val="yellow"/>
              </w:rPr>
              <w:t>100AH</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PCM</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麻醉手术室</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rPr>
              <w:t>12V</w:t>
            </w:r>
            <w:r>
              <w:rPr>
                <w:rFonts w:hint="eastAsia" w:ascii="宋体" w:hAnsi="宋体" w:eastAsia="宋体" w:cs="宋体"/>
                <w:sz w:val="24"/>
                <w:szCs w:val="24"/>
                <w:highlight w:val="yellow"/>
                <w:lang w:eastAsia="zh-CN"/>
              </w:rPr>
              <w:t xml:space="preserve"> </w:t>
            </w:r>
            <w:r>
              <w:rPr>
                <w:rFonts w:hint="eastAsia" w:ascii="宋体" w:hAnsi="宋体" w:eastAsia="宋体" w:cs="宋体"/>
                <w:sz w:val="24"/>
                <w:szCs w:val="24"/>
                <w:highlight w:val="yellow"/>
              </w:rPr>
              <w:t>100AH</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PCM</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90+90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ICU</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rPr>
              <w:t>12V</w:t>
            </w:r>
            <w:r>
              <w:rPr>
                <w:rFonts w:hint="eastAsia" w:ascii="宋体" w:hAnsi="宋体" w:eastAsia="宋体" w:cs="宋体"/>
                <w:sz w:val="24"/>
                <w:szCs w:val="24"/>
                <w:highlight w:val="yellow"/>
                <w:lang w:eastAsia="zh-CN"/>
              </w:rPr>
              <w:t xml:space="preserve"> </w:t>
            </w:r>
            <w:r>
              <w:rPr>
                <w:rFonts w:hint="eastAsia" w:ascii="宋体" w:hAnsi="宋体" w:eastAsia="宋体" w:cs="宋体"/>
                <w:sz w:val="24"/>
                <w:szCs w:val="24"/>
                <w:highlight w:val="yellow"/>
              </w:rPr>
              <w:t>100AH</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PCM</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CCU</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rPr>
              <w:t>12V</w:t>
            </w:r>
            <w:r>
              <w:rPr>
                <w:rFonts w:hint="eastAsia" w:ascii="宋体" w:hAnsi="宋体" w:eastAsia="宋体" w:cs="宋体"/>
                <w:sz w:val="24"/>
                <w:szCs w:val="24"/>
                <w:highlight w:val="yellow"/>
                <w:lang w:eastAsia="zh-CN"/>
              </w:rPr>
              <w:t xml:space="preserve"> </w:t>
            </w:r>
            <w:r>
              <w:rPr>
                <w:rFonts w:hint="eastAsia" w:ascii="宋体" w:hAnsi="宋体" w:eastAsia="宋体" w:cs="宋体"/>
                <w:sz w:val="24"/>
                <w:szCs w:val="24"/>
                <w:highlight w:val="yellow"/>
              </w:rPr>
              <w:t>100AH</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PCM</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急诊</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12V 65AH</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PCM</w:t>
            </w:r>
          </w:p>
        </w:tc>
        <w:tc>
          <w:tcPr>
            <w:tcW w:w="2130" w:type="dxa"/>
          </w:tcPr>
          <w:p>
            <w:pPr>
              <w:widowControl w:val="0"/>
              <w:kinsoku/>
              <w:autoSpaceDE/>
              <w:autoSpaceDN/>
              <w:adjustRightInd/>
              <w:snapToGrid/>
              <w:spacing w:line="360" w:lineRule="auto"/>
              <w:jc w:val="center"/>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32</w:t>
            </w:r>
          </w:p>
        </w:tc>
      </w:tr>
    </w:tbl>
    <w:p>
      <w:pPr>
        <w:widowControl w:val="0"/>
        <w:kinsoku/>
        <w:autoSpaceDE/>
        <w:autoSpaceDN/>
        <w:adjustRightInd/>
        <w:snapToGrid/>
        <w:spacing w:line="360" w:lineRule="auto"/>
        <w:textAlignment w:val="auto"/>
        <w:rPr>
          <w:rFonts w:ascii="宋体" w:hAnsi="宋体" w:eastAsia="宋体" w:cs="宋体"/>
          <w:sz w:val="24"/>
          <w:szCs w:val="24"/>
          <w:highlight w:val="yellow"/>
          <w:lang w:eastAsia="zh-CN"/>
        </w:rPr>
      </w:pPr>
      <w:r>
        <w:rPr>
          <w:rFonts w:hint="eastAsia" w:ascii="宋体" w:hAnsi="宋体" w:eastAsia="宋体" w:cs="宋体"/>
          <w:sz w:val="24"/>
          <w:szCs w:val="24"/>
          <w:highlight w:val="yellow"/>
          <w:lang w:eastAsia="zh-CN"/>
        </w:rPr>
        <w:t>备注：UPS现主机品牌为PCM，投标方所安装的蓄电池需能与主机兼容，调试后供电性能正常。</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★2、</w:t>
      </w:r>
      <w:r>
        <w:rPr>
          <w:rFonts w:hint="eastAsia" w:ascii="宋体" w:hAnsi="宋体" w:eastAsia="宋体" w:cs="宋体"/>
          <w:sz w:val="24"/>
          <w:szCs w:val="24"/>
          <w:highlight w:val="yellow"/>
          <w:lang w:eastAsia="zh-CN"/>
        </w:rPr>
        <w:t>电池寿命：依据《固定型阀控式铅酸蓄电池第1部分技术条件》GB/T 19638.1-2014第6.21条款的要求进行电池的充放循环耐久性测试。</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3、气密性：蓄电池在环境温度25±5℃的条件下，储存24h，通过安全阀向蓄电池充气在内外压差为50Kpa时并持续不少于5s时，能够不破裂、不开胶、压力释放后壳体无残余变形；</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4、容量试验：蓄电池组按照“YD／T 799-2010”规定的相关方法试验，10h率容量第一次循环不低于0.95C10，在第三次循环之前，10h 率容量应达到C10，3h 率容量应达到0.75C10，1h 率容量应达到0.55C10；</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5、大电流放电：蓄电池以30I10（A）放电3min，极柱应不熔断、内部汇流排应不熔断，其外观不得出现异常。</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6、容量保存率：在静置28天后，其容量保存率应不低于97%；</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7、密封反应效率：蓄电池密封反应效率不低于97%；</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8、安全阀要求：蓄电池安全阀应具有自动开启和自动关闭的功能，其开阀压应是10 kPa～35 kPa，闭阀压应是3 kPa～30 kPa；</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9、耐过充电能力：蓄电池完全充电后，以0.3I10A的电流连续充电160H后，应不变形、不漏液；</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10、端电压的均衡性：</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由若干单体组成一体的蓄电池组，其各单体间的开路电压最高与最低差值不大于100mV；</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由若干单体组成一体的蓄电池组，进入浮充状态24h后，其各单体间的端电压最高与最低差值不大于480mv；</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 xml:space="preserve">11、连接电压降：蓄电池间的连接电压降△U≤10mV。 </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 xml:space="preserve">12、防爆性能：蓄电池在充电过程中遇有明火，内部应不引燃、不引爆。 </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 xml:space="preserve">13、封口剂性能：采用封口剂的蓄电池，在环境温度-30℃～+65℃之间，封口剂应无裂纹与溢流现象。 </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14、热失控敏感性： 完全冲电后的蓄电池以2.45V/CELL的恒压连续充电168H，蓄电池温度T≦60℃，每24H内浮充电流的增长率△I≦50%。</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15、过度放电：蓄电池完全充电后过度放电，按照生产商确定的均充电压充电48H，容量恢复值≧90%。</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16、容量一致性：同组蓄电池10h率容量的最大值和最小值的差值≦5%。</w:t>
      </w:r>
    </w:p>
    <w:p>
      <w:pPr>
        <w:spacing w:line="360" w:lineRule="auto"/>
        <w:rPr>
          <w:rFonts w:ascii="宋体" w:hAnsi="宋体" w:eastAsia="宋体" w:cs="宋体"/>
          <w:b/>
          <w:bCs/>
          <w:sz w:val="24"/>
          <w:szCs w:val="24"/>
          <w:lang w:eastAsia="zh-CN"/>
        </w:rPr>
      </w:pPr>
      <w:r>
        <w:rPr>
          <w:rFonts w:hint="eastAsia" w:ascii="宋体" w:hAnsi="宋体" w:eastAsia="宋体" w:cs="宋体"/>
          <w:sz w:val="24"/>
          <w:szCs w:val="24"/>
          <w:lang w:eastAsia="zh-CN"/>
        </w:rPr>
        <w:t>★17、蓄电池生产企业具有ISO9001国际质量管理体系认证证书、ISO14001环境管理体系认证证书、ISO45001职业健康安全管理体系认证证书、 提供蓄电池泰尔检测报告以及泰尔认证。</w:t>
      </w:r>
      <w:r>
        <w:rPr>
          <w:rFonts w:hint="eastAsia" w:ascii="宋体" w:hAnsi="宋体" w:eastAsia="宋体" w:cs="宋体"/>
          <w:b/>
          <w:bCs/>
          <w:sz w:val="24"/>
          <w:szCs w:val="24"/>
          <w:lang w:eastAsia="zh-CN"/>
        </w:rPr>
        <w:t>需提供蓄电池制造商三年质保承诺。</w:t>
      </w:r>
    </w:p>
    <w:p>
      <w:pPr>
        <w:widowControl w:val="0"/>
        <w:kinsoku/>
        <w:autoSpaceDE/>
        <w:autoSpaceDN/>
        <w:adjustRightInd/>
        <w:snapToGrid/>
        <w:spacing w:line="360" w:lineRule="auto"/>
        <w:textAlignment w:val="auto"/>
        <w:rPr>
          <w:rFonts w:ascii="宋体" w:hAnsi="宋体" w:eastAsia="宋体" w:cs="宋体"/>
          <w:sz w:val="24"/>
          <w:szCs w:val="24"/>
          <w:lang w:eastAsia="zh-CN"/>
        </w:rPr>
      </w:pPr>
      <w:r>
        <w:rPr>
          <w:rFonts w:hint="eastAsia" w:ascii="宋体" w:hAnsi="宋体" w:eastAsia="宋体" w:cs="宋体"/>
          <w:sz w:val="24"/>
          <w:szCs w:val="24"/>
          <w:lang w:eastAsia="zh-CN"/>
        </w:rPr>
        <w:t>★18、厂家进场安装新电池前，</w:t>
      </w:r>
      <w:r>
        <w:rPr>
          <w:rFonts w:hint="eastAsia" w:ascii="宋体" w:hAnsi="宋体" w:eastAsia="宋体" w:cs="宋体"/>
          <w:b/>
          <w:bCs/>
          <w:sz w:val="24"/>
          <w:szCs w:val="24"/>
          <w:lang w:eastAsia="zh-CN"/>
        </w:rPr>
        <w:t>需对原UPS主机进行测试，证明主机性能良好，可以正常使用</w:t>
      </w:r>
      <w:r>
        <w:rPr>
          <w:rFonts w:hint="eastAsia" w:ascii="宋体" w:hAnsi="宋体" w:eastAsia="宋体" w:cs="宋体"/>
          <w:sz w:val="24"/>
          <w:szCs w:val="24"/>
          <w:lang w:eastAsia="zh-CN"/>
        </w:rPr>
        <w:t>；拆除后旧电池交由</w:t>
      </w:r>
      <w:r>
        <w:rPr>
          <w:rFonts w:hint="eastAsia" w:ascii="宋体" w:hAnsi="宋体" w:eastAsia="宋体" w:cs="宋体"/>
          <w:b/>
          <w:bCs/>
          <w:sz w:val="24"/>
          <w:szCs w:val="24"/>
          <w:lang w:eastAsia="zh-CN"/>
        </w:rPr>
        <w:t>院方保留</w:t>
      </w:r>
      <w:r>
        <w:rPr>
          <w:rFonts w:hint="eastAsia" w:ascii="宋体" w:hAnsi="宋体" w:eastAsia="宋体" w:cs="宋体"/>
          <w:sz w:val="24"/>
          <w:szCs w:val="24"/>
          <w:lang w:eastAsia="zh-CN"/>
        </w:rPr>
        <w:t>，在安装调试好新电池后，再次对UPS机组进行测试，证明主机性能良好，可以正常使用，同时电池可以正常供蓄电，供电时长</w:t>
      </w:r>
      <w:r>
        <w:rPr>
          <w:rFonts w:hint="eastAsia" w:ascii="宋体" w:hAnsi="宋体" w:eastAsia="宋体" w:cs="宋体"/>
          <w:b/>
          <w:bCs/>
          <w:sz w:val="24"/>
          <w:szCs w:val="24"/>
          <w:lang w:eastAsia="zh-CN"/>
        </w:rPr>
        <w:t>不低于60分钟</w:t>
      </w:r>
      <w:r>
        <w:rPr>
          <w:rFonts w:hint="eastAsia" w:ascii="宋体" w:hAnsi="宋体" w:eastAsia="宋体" w:cs="宋体"/>
          <w:sz w:val="24"/>
          <w:szCs w:val="24"/>
          <w:lang w:eastAsia="zh-CN"/>
        </w:rPr>
        <w:t>。</w:t>
      </w:r>
    </w:p>
    <w:p>
      <w:pPr>
        <w:spacing w:line="360" w:lineRule="auto"/>
        <w:rPr>
          <w:rFonts w:ascii="宋体" w:hAnsi="宋体" w:eastAsia="宋体" w:cs="宋体"/>
          <w:sz w:val="24"/>
          <w:szCs w:val="24"/>
          <w:lang w:eastAsia="zh-CN"/>
        </w:rPr>
      </w:pPr>
    </w:p>
    <w:p>
      <w:pPr>
        <w:numPr>
          <w:ilvl w:val="0"/>
          <w:numId w:val="1"/>
        </w:numPr>
        <w:spacing w:before="312" w:beforeLines="100" w:after="312" w:afterLines="100" w:line="360" w:lineRule="auto"/>
        <w:ind w:firstLine="0"/>
        <w:jc w:val="center"/>
        <w:outlineLvl w:val="2"/>
        <w:rPr>
          <w:rFonts w:ascii="宋体" w:hAnsi="宋体" w:eastAsia="宋体" w:cs="宋体"/>
          <w:spacing w:val="8"/>
          <w:sz w:val="24"/>
          <w:szCs w:val="24"/>
          <w14:textOutline w14:w="3797" w14:cap="sq" w14:cmpd="sng" w14:algn="ctr">
            <w14:solidFill>
              <w14:srgbClr w14:val="000000"/>
            </w14:solidFill>
            <w14:prstDash w14:val="solid"/>
            <w14:bevel/>
          </w14:textOutline>
        </w:rPr>
      </w:pPr>
      <w:r>
        <w:rPr>
          <w:rFonts w:hint="eastAsia" w:ascii="宋体" w:hAnsi="宋体" w:eastAsia="宋体" w:cs="宋体"/>
          <w:spacing w:val="8"/>
          <w:sz w:val="24"/>
          <w:szCs w:val="24"/>
          <w14:textOutline w14:w="3797" w14:cap="sq" w14:cmpd="sng" w14:algn="ctr">
            <w14:solidFill>
              <w14:srgbClr w14:val="000000"/>
            </w14:solidFill>
            <w14:prstDash w14:val="solid"/>
            <w14:bevel/>
          </w14:textOutline>
        </w:rPr>
        <w:t>商务要求</w:t>
      </w:r>
    </w:p>
    <w:tbl>
      <w:tblPr>
        <w:tblStyle w:val="7"/>
        <w:tblpPr w:leftFromText="180" w:rightFromText="180" w:vertAnchor="text" w:horzAnchor="page" w:tblpX="1377" w:tblpY="247"/>
        <w:tblOverlap w:val="never"/>
        <w:tblW w:w="9363"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4"/>
        <w:gridCol w:w="1594"/>
        <w:gridCol w:w="706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704" w:type="dxa"/>
          </w:tcPr>
          <w:p>
            <w:pPr>
              <w:spacing w:before="116" w:line="230" w:lineRule="auto"/>
              <w:ind w:left="146"/>
              <w:jc w:val="both"/>
              <w:rPr>
                <w:rFonts w:ascii="宋体" w:hAnsi="宋体" w:eastAsia="宋体" w:cs="宋体"/>
                <w:sz w:val="20"/>
                <w:szCs w:val="20"/>
              </w:rPr>
            </w:pPr>
            <w:r>
              <w:rPr>
                <w:rFonts w:ascii="宋体" w:hAnsi="宋体" w:eastAsia="宋体" w:cs="宋体"/>
                <w:spacing w:val="6"/>
                <w:sz w:val="20"/>
                <w:szCs w:val="20"/>
                <w14:textOutline w14:w="3797" w14:cap="sq" w14:cmpd="sng" w14:algn="ctr">
                  <w14:solidFill>
                    <w14:srgbClr w14:val="000000"/>
                  </w14:solidFill>
                  <w14:prstDash w14:val="solid"/>
                  <w14:bevel/>
                </w14:textOutline>
              </w:rPr>
              <w:t>序号</w:t>
            </w:r>
          </w:p>
        </w:tc>
        <w:tc>
          <w:tcPr>
            <w:tcW w:w="1594" w:type="dxa"/>
          </w:tcPr>
          <w:p>
            <w:pPr>
              <w:spacing w:before="56" w:line="228" w:lineRule="auto"/>
              <w:ind w:left="138"/>
              <w:jc w:val="center"/>
              <w:rPr>
                <w:rFonts w:ascii="宋体" w:hAnsi="宋体" w:eastAsia="宋体" w:cs="宋体"/>
                <w:sz w:val="20"/>
                <w:szCs w:val="20"/>
              </w:rPr>
            </w:pPr>
            <w:r>
              <w:rPr>
                <w:rFonts w:ascii="宋体" w:hAnsi="宋体" w:eastAsia="宋体" w:cs="宋体"/>
                <w:spacing w:val="6"/>
                <w:sz w:val="20"/>
                <w:szCs w:val="20"/>
                <w14:textOutline w14:w="3797" w14:cap="sq" w14:cmpd="sng" w14:algn="ctr">
                  <w14:solidFill>
                    <w14:srgbClr w14:val="000000"/>
                  </w14:solidFill>
                  <w14:prstDash w14:val="solid"/>
                  <w14:bevel/>
                </w14:textOutline>
              </w:rPr>
              <w:t>内容</w:t>
            </w:r>
          </w:p>
        </w:tc>
        <w:tc>
          <w:tcPr>
            <w:tcW w:w="7065" w:type="dxa"/>
          </w:tcPr>
          <w:p>
            <w:pPr>
              <w:spacing w:before="56" w:line="230" w:lineRule="auto"/>
              <w:ind w:left="2777"/>
              <w:jc w:val="both"/>
              <w:rPr>
                <w:rFonts w:ascii="宋体" w:hAnsi="宋体" w:eastAsia="宋体" w:cs="宋体"/>
                <w:sz w:val="20"/>
                <w:szCs w:val="20"/>
              </w:rPr>
            </w:pPr>
            <w:r>
              <w:rPr>
                <w:rFonts w:ascii="宋体" w:hAnsi="宋体" w:eastAsia="宋体" w:cs="宋体"/>
                <w:sz w:val="20"/>
                <w:szCs w:val="20"/>
                <w14:textOutline w14:w="3797" w14:cap="sq" w14:cmpd="sng" w14:algn="ctr">
                  <w14:solidFill>
                    <w14:srgbClr w14:val="000000"/>
                  </w14:solidFill>
                  <w14:prstDash w14:val="solid"/>
                  <w14:bevel/>
                </w14:textOutline>
              </w:rPr>
              <w:t>要</w:t>
            </w:r>
            <w:r>
              <w:rPr>
                <w:rFonts w:ascii="宋体" w:hAnsi="宋体" w:eastAsia="宋体" w:cs="宋体"/>
                <w:spacing w:val="8"/>
                <w:sz w:val="20"/>
                <w:szCs w:val="20"/>
              </w:rPr>
              <w:t xml:space="preserve">   </w:t>
            </w:r>
            <w:r>
              <w:rPr>
                <w:rFonts w:ascii="宋体" w:hAnsi="宋体" w:eastAsia="宋体" w:cs="宋体"/>
                <w:sz w:val="20"/>
                <w:szCs w:val="20"/>
                <w14:textOutline w14:w="3797" w14:cap="sq" w14:cmpd="sng" w14:algn="ctr">
                  <w14:solidFill>
                    <w14:srgbClr w14:val="000000"/>
                  </w14:solidFill>
                  <w14:prstDash w14:val="solid"/>
                  <w14:bevel/>
                </w14:textOutline>
              </w:rPr>
              <w:t>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704" w:type="dxa"/>
          </w:tcPr>
          <w:p>
            <w:pPr>
              <w:spacing w:before="86" w:line="189" w:lineRule="auto"/>
              <w:ind w:left="321"/>
              <w:rPr>
                <w:rFonts w:ascii="宋体" w:hAnsi="宋体" w:eastAsia="宋体" w:cs="宋体"/>
                <w:sz w:val="20"/>
                <w:szCs w:val="20"/>
              </w:rPr>
            </w:pPr>
            <w:r>
              <w:rPr>
                <w:rFonts w:ascii="宋体" w:hAnsi="宋体" w:eastAsia="宋体" w:cs="宋体"/>
                <w:sz w:val="20"/>
                <w:szCs w:val="20"/>
              </w:rPr>
              <w:t>1</w:t>
            </w:r>
          </w:p>
        </w:tc>
        <w:tc>
          <w:tcPr>
            <w:tcW w:w="1594" w:type="dxa"/>
          </w:tcPr>
          <w:p>
            <w:pPr>
              <w:spacing w:before="53" w:line="229" w:lineRule="auto"/>
              <w:ind w:left="485"/>
              <w:rPr>
                <w:rFonts w:ascii="宋体" w:hAnsi="宋体" w:eastAsia="宋体" w:cs="宋体"/>
                <w:sz w:val="20"/>
                <w:szCs w:val="20"/>
              </w:rPr>
            </w:pPr>
            <w:r>
              <w:rPr>
                <w:rFonts w:ascii="宋体" w:hAnsi="宋体" w:eastAsia="宋体" w:cs="宋体"/>
                <w:spacing w:val="6"/>
                <w:sz w:val="20"/>
                <w:szCs w:val="20"/>
              </w:rPr>
              <w:t>质保期</w:t>
            </w:r>
          </w:p>
        </w:tc>
        <w:tc>
          <w:tcPr>
            <w:tcW w:w="7065" w:type="dxa"/>
          </w:tcPr>
          <w:p>
            <w:pPr>
              <w:spacing w:before="53" w:line="228" w:lineRule="auto"/>
              <w:ind w:left="116"/>
              <w:rPr>
                <w:rFonts w:ascii="宋体" w:hAnsi="宋体" w:eastAsia="宋体" w:cs="宋体"/>
                <w:sz w:val="20"/>
                <w:szCs w:val="20"/>
                <w:lang w:eastAsia="zh-CN"/>
              </w:rPr>
            </w:pPr>
            <w:r>
              <w:rPr>
                <w:rFonts w:hint="eastAsia" w:ascii="宋体" w:hAnsi="宋体" w:eastAsia="宋体" w:cs="宋体"/>
                <w:sz w:val="20"/>
                <w:szCs w:val="20"/>
                <w:lang w:eastAsia="zh-CN"/>
              </w:rPr>
              <w:t>不低于3年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04" w:type="dxa"/>
          </w:tcPr>
          <w:p>
            <w:pPr>
              <w:spacing w:before="241" w:line="189" w:lineRule="auto"/>
              <w:ind w:left="308"/>
              <w:rPr>
                <w:rFonts w:ascii="宋体" w:hAnsi="宋体" w:eastAsia="宋体" w:cs="宋体"/>
                <w:sz w:val="20"/>
                <w:szCs w:val="20"/>
              </w:rPr>
            </w:pPr>
            <w:r>
              <w:rPr>
                <w:rFonts w:ascii="宋体" w:hAnsi="宋体" w:eastAsia="宋体" w:cs="宋体"/>
                <w:sz w:val="20"/>
                <w:szCs w:val="20"/>
              </w:rPr>
              <w:t>2</w:t>
            </w:r>
          </w:p>
        </w:tc>
        <w:tc>
          <w:tcPr>
            <w:tcW w:w="1594" w:type="dxa"/>
          </w:tcPr>
          <w:p>
            <w:pPr>
              <w:spacing w:before="52" w:line="258" w:lineRule="auto"/>
              <w:ind w:left="286" w:right="290" w:firstLine="95"/>
              <w:rPr>
                <w:rFonts w:ascii="宋体" w:hAnsi="宋体" w:eastAsia="宋体" w:cs="宋体"/>
                <w:sz w:val="20"/>
                <w:szCs w:val="20"/>
              </w:rPr>
            </w:pPr>
            <w:r>
              <w:rPr>
                <w:rFonts w:ascii="宋体" w:hAnsi="宋体" w:eastAsia="宋体" w:cs="宋体"/>
                <w:spacing w:val="7"/>
                <w:sz w:val="20"/>
                <w:szCs w:val="20"/>
              </w:rPr>
              <w:t>供货要求</w:t>
            </w:r>
            <w:r>
              <w:rPr>
                <w:rFonts w:ascii="宋体" w:hAnsi="宋体" w:eastAsia="宋体" w:cs="宋体"/>
                <w:spacing w:val="2"/>
                <w:sz w:val="20"/>
                <w:szCs w:val="20"/>
              </w:rPr>
              <w:t>（货物类）</w:t>
            </w:r>
          </w:p>
        </w:tc>
        <w:tc>
          <w:tcPr>
            <w:tcW w:w="7065" w:type="dxa"/>
          </w:tcPr>
          <w:p>
            <w:pPr>
              <w:spacing w:before="208" w:line="228" w:lineRule="auto"/>
              <w:ind w:left="116"/>
              <w:rPr>
                <w:rFonts w:ascii="宋体" w:hAnsi="宋体" w:eastAsia="宋体" w:cs="宋体"/>
                <w:sz w:val="20"/>
                <w:szCs w:val="20"/>
                <w:lang w:eastAsia="zh-CN"/>
              </w:rPr>
            </w:pPr>
            <w:r>
              <w:rPr>
                <w:rFonts w:ascii="宋体" w:hAnsi="宋体" w:eastAsia="宋体" w:cs="宋体"/>
                <w:spacing w:val="2"/>
                <w:sz w:val="20"/>
                <w:szCs w:val="20"/>
                <w:lang w:eastAsia="zh-CN"/>
              </w:rPr>
              <w:t>交货时间:签订合同后</w:t>
            </w:r>
            <w:r>
              <w:rPr>
                <w:rFonts w:hint="eastAsia" w:ascii="宋体" w:hAnsi="宋体" w:eastAsia="宋体" w:cs="宋体"/>
                <w:spacing w:val="2"/>
                <w:sz w:val="20"/>
                <w:szCs w:val="20"/>
                <w:lang w:eastAsia="zh-CN"/>
              </w:rPr>
              <w:t>15个</w:t>
            </w:r>
            <w:r>
              <w:rPr>
                <w:rFonts w:ascii="宋体" w:hAnsi="宋体" w:eastAsia="宋体" w:cs="宋体"/>
                <w:spacing w:val="2"/>
                <w:sz w:val="20"/>
                <w:szCs w:val="20"/>
                <w:lang w:eastAsia="zh-CN"/>
              </w:rPr>
              <w:t>日历天</w:t>
            </w:r>
            <w:r>
              <w:rPr>
                <w:rFonts w:hint="eastAsia" w:ascii="宋体" w:hAnsi="宋体" w:eastAsia="宋体" w:cs="宋体"/>
                <w:spacing w:val="2"/>
                <w:sz w:val="20"/>
                <w:szCs w:val="20"/>
                <w:lang w:eastAsia="zh-CN"/>
              </w:rPr>
              <w:t>内</w:t>
            </w:r>
            <w:r>
              <w:rPr>
                <w:rFonts w:ascii="宋体" w:hAnsi="宋体" w:eastAsia="宋体" w:cs="宋体"/>
                <w:spacing w:val="2"/>
                <w:sz w:val="20"/>
                <w:szCs w:val="20"/>
                <w:lang w:eastAsia="zh-CN"/>
              </w:rPr>
              <w:t>完成供货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704" w:type="dxa"/>
          </w:tcPr>
          <w:p>
            <w:pPr>
              <w:spacing w:before="85" w:line="189" w:lineRule="auto"/>
              <w:ind w:left="309"/>
              <w:rPr>
                <w:rFonts w:ascii="宋体" w:hAnsi="宋体" w:eastAsia="宋体" w:cs="宋体"/>
                <w:sz w:val="20"/>
                <w:szCs w:val="20"/>
              </w:rPr>
            </w:pPr>
            <w:r>
              <w:rPr>
                <w:rFonts w:ascii="宋体" w:hAnsi="宋体" w:eastAsia="宋体" w:cs="宋体"/>
                <w:sz w:val="20"/>
                <w:szCs w:val="20"/>
              </w:rPr>
              <w:t>3</w:t>
            </w:r>
          </w:p>
        </w:tc>
        <w:tc>
          <w:tcPr>
            <w:tcW w:w="1594" w:type="dxa"/>
          </w:tcPr>
          <w:p>
            <w:pPr>
              <w:spacing w:before="53" w:line="228" w:lineRule="auto"/>
              <w:ind w:left="381"/>
              <w:rPr>
                <w:rFonts w:ascii="宋体" w:hAnsi="宋体" w:eastAsia="宋体" w:cs="宋体"/>
                <w:sz w:val="20"/>
                <w:szCs w:val="20"/>
              </w:rPr>
            </w:pPr>
            <w:r>
              <w:rPr>
                <w:rFonts w:ascii="宋体" w:hAnsi="宋体" w:eastAsia="宋体" w:cs="宋体"/>
                <w:spacing w:val="7"/>
                <w:sz w:val="20"/>
                <w:szCs w:val="20"/>
              </w:rPr>
              <w:t>售后服务</w:t>
            </w:r>
          </w:p>
        </w:tc>
        <w:tc>
          <w:tcPr>
            <w:tcW w:w="7065" w:type="dxa"/>
          </w:tcPr>
          <w:p>
            <w:pPr>
              <w:spacing w:before="53" w:line="228" w:lineRule="auto"/>
              <w:ind w:left="114"/>
              <w:rPr>
                <w:rFonts w:ascii="宋体" w:hAnsi="宋体" w:eastAsia="宋体" w:cs="宋体"/>
                <w:sz w:val="20"/>
                <w:szCs w:val="20"/>
              </w:rPr>
            </w:pPr>
            <w:r>
              <w:rPr>
                <w:rFonts w:ascii="宋体" w:hAnsi="宋体" w:eastAsia="宋体" w:cs="宋体"/>
                <w:spacing w:val="8"/>
                <w:sz w:val="20"/>
                <w:szCs w:val="20"/>
              </w:rPr>
              <w:t>符合招标文件要求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4" w:hRule="atLeast"/>
        </w:trPr>
        <w:tc>
          <w:tcPr>
            <w:tcW w:w="704" w:type="dxa"/>
          </w:tcPr>
          <w:p>
            <w:pPr>
              <w:spacing w:line="320" w:lineRule="auto"/>
            </w:pPr>
          </w:p>
          <w:p>
            <w:pPr>
              <w:spacing w:line="320" w:lineRule="auto"/>
            </w:pPr>
          </w:p>
          <w:p>
            <w:pPr>
              <w:spacing w:before="65" w:line="189" w:lineRule="auto"/>
              <w:ind w:left="304"/>
              <w:rPr>
                <w:rFonts w:ascii="宋体" w:hAnsi="宋体" w:eastAsia="宋体" w:cs="宋体"/>
                <w:sz w:val="20"/>
                <w:szCs w:val="20"/>
              </w:rPr>
            </w:pPr>
            <w:r>
              <w:rPr>
                <w:rFonts w:ascii="宋体" w:hAnsi="宋体" w:eastAsia="宋体" w:cs="宋体"/>
                <w:sz w:val="20"/>
                <w:szCs w:val="20"/>
              </w:rPr>
              <w:t>4</w:t>
            </w:r>
          </w:p>
        </w:tc>
        <w:tc>
          <w:tcPr>
            <w:tcW w:w="1594" w:type="dxa"/>
          </w:tcPr>
          <w:p>
            <w:pPr>
              <w:spacing w:line="452" w:lineRule="auto"/>
            </w:pPr>
          </w:p>
          <w:p>
            <w:pPr>
              <w:spacing w:before="65" w:line="259" w:lineRule="auto"/>
              <w:ind w:left="590" w:right="169" w:hanging="420"/>
              <w:rPr>
                <w:rFonts w:ascii="宋体" w:hAnsi="宋体" w:eastAsia="宋体" w:cs="宋体"/>
                <w:sz w:val="20"/>
                <w:szCs w:val="20"/>
              </w:rPr>
            </w:pPr>
            <w:r>
              <w:rPr>
                <w:rFonts w:ascii="宋体" w:hAnsi="宋体" w:eastAsia="宋体" w:cs="宋体"/>
                <w:spacing w:val="8"/>
                <w:sz w:val="20"/>
                <w:szCs w:val="20"/>
              </w:rPr>
              <w:t>包装要求（货</w:t>
            </w:r>
            <w:r>
              <w:rPr>
                <w:rFonts w:ascii="宋体" w:hAnsi="宋体" w:eastAsia="宋体" w:cs="宋体"/>
                <w:sz w:val="20"/>
                <w:szCs w:val="20"/>
              </w:rPr>
              <w:t>物）</w:t>
            </w:r>
          </w:p>
        </w:tc>
        <w:tc>
          <w:tcPr>
            <w:tcW w:w="7065" w:type="dxa"/>
          </w:tcPr>
          <w:p>
            <w:pPr>
              <w:spacing w:before="52" w:line="276" w:lineRule="auto"/>
              <w:ind w:left="112" w:right="37" w:firstLine="12"/>
              <w:jc w:val="both"/>
              <w:rPr>
                <w:rFonts w:ascii="宋体" w:hAnsi="宋体" w:eastAsia="宋体" w:cs="宋体"/>
                <w:sz w:val="20"/>
                <w:szCs w:val="20"/>
                <w:lang w:eastAsia="zh-CN"/>
              </w:rPr>
            </w:pPr>
            <w:r>
              <w:rPr>
                <w:rFonts w:ascii="宋体" w:hAnsi="宋体" w:eastAsia="宋体" w:cs="宋体"/>
                <w:spacing w:val="9"/>
                <w:sz w:val="20"/>
                <w:szCs w:val="20"/>
                <w:lang w:eastAsia="zh-CN"/>
              </w:rPr>
              <w:t>除合同另有规定外，成交人提供的全部货物均应按标准保护措施进行包装，</w:t>
            </w:r>
            <w:r>
              <w:rPr>
                <w:rFonts w:ascii="宋体" w:hAnsi="宋体" w:eastAsia="宋体" w:cs="宋体"/>
                <w:spacing w:val="7"/>
                <w:sz w:val="20"/>
                <w:szCs w:val="20"/>
                <w:lang w:eastAsia="zh-CN"/>
              </w:rPr>
              <w:t>涉及木质制品及木制包装材料的（含铺垫、支撑、加固设施设备等</w:t>
            </w:r>
            <w:r>
              <w:rPr>
                <w:rFonts w:ascii="宋体" w:hAnsi="宋体" w:eastAsia="宋体" w:cs="宋体"/>
                <w:spacing w:val="2"/>
                <w:sz w:val="20"/>
                <w:szCs w:val="20"/>
                <w:lang w:eastAsia="zh-CN"/>
              </w:rPr>
              <w:t>），</w:t>
            </w:r>
            <w:r>
              <w:rPr>
                <w:rFonts w:ascii="宋体" w:hAnsi="宋体" w:eastAsia="宋体" w:cs="宋体"/>
                <w:spacing w:val="7"/>
                <w:sz w:val="20"/>
                <w:szCs w:val="20"/>
                <w:lang w:eastAsia="zh-CN"/>
              </w:rPr>
              <w:t>禁止使用和调入松木及其制品。该包装应适应远距离运输、防</w:t>
            </w:r>
            <w:r>
              <w:rPr>
                <w:rFonts w:ascii="宋体" w:hAnsi="宋体" w:eastAsia="宋体" w:cs="宋体"/>
                <w:spacing w:val="6"/>
                <w:sz w:val="20"/>
                <w:szCs w:val="20"/>
                <w:lang w:eastAsia="zh-CN"/>
              </w:rPr>
              <w:t>潮、防震、防锈和</w:t>
            </w:r>
            <w:r>
              <w:rPr>
                <w:rFonts w:ascii="宋体" w:hAnsi="宋体" w:eastAsia="宋体" w:cs="宋体"/>
                <w:spacing w:val="3"/>
                <w:sz w:val="20"/>
                <w:szCs w:val="20"/>
                <w:lang w:eastAsia="zh-CN"/>
              </w:rPr>
              <w:t>防野蛮装卸，确保货物安全无损运抵现场。由于包装不善所引起的货物锈蚀、</w:t>
            </w:r>
            <w:r>
              <w:rPr>
                <w:rFonts w:ascii="宋体" w:hAnsi="宋体" w:eastAsia="宋体" w:cs="宋体"/>
                <w:spacing w:val="8"/>
                <w:sz w:val="20"/>
                <w:szCs w:val="20"/>
                <w:lang w:eastAsia="zh-CN"/>
              </w:rPr>
              <w:t>损坏和损失均由成交人承担。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704" w:type="dxa"/>
          </w:tcPr>
          <w:p>
            <w:pPr>
              <w:spacing w:before="243" w:line="187" w:lineRule="auto"/>
              <w:ind w:left="309"/>
              <w:rPr>
                <w:rFonts w:ascii="宋体" w:hAnsi="宋体" w:eastAsia="宋体" w:cs="宋体"/>
                <w:sz w:val="20"/>
                <w:szCs w:val="20"/>
              </w:rPr>
            </w:pPr>
            <w:r>
              <w:rPr>
                <w:rFonts w:ascii="宋体" w:hAnsi="宋体" w:eastAsia="宋体" w:cs="宋体"/>
                <w:sz w:val="20"/>
                <w:szCs w:val="20"/>
              </w:rPr>
              <w:t>5</w:t>
            </w:r>
          </w:p>
        </w:tc>
        <w:tc>
          <w:tcPr>
            <w:tcW w:w="1594" w:type="dxa"/>
          </w:tcPr>
          <w:p>
            <w:pPr>
              <w:spacing w:before="209" w:line="228" w:lineRule="auto"/>
              <w:ind w:left="589"/>
              <w:rPr>
                <w:rFonts w:ascii="宋体" w:hAnsi="宋体" w:eastAsia="宋体" w:cs="宋体"/>
                <w:sz w:val="20"/>
                <w:szCs w:val="20"/>
              </w:rPr>
            </w:pPr>
            <w:r>
              <w:rPr>
                <w:rFonts w:ascii="宋体" w:hAnsi="宋体" w:eastAsia="宋体" w:cs="宋体"/>
                <w:spacing w:val="5"/>
                <w:sz w:val="20"/>
                <w:szCs w:val="20"/>
              </w:rPr>
              <w:t>验收</w:t>
            </w:r>
          </w:p>
        </w:tc>
        <w:tc>
          <w:tcPr>
            <w:tcW w:w="7065" w:type="dxa"/>
          </w:tcPr>
          <w:p>
            <w:pPr>
              <w:spacing w:before="53" w:line="258" w:lineRule="auto"/>
              <w:ind w:left="112" w:right="108" w:hanging="1"/>
              <w:rPr>
                <w:rFonts w:ascii="宋体" w:hAnsi="宋体" w:eastAsia="宋体" w:cs="宋体"/>
                <w:sz w:val="20"/>
                <w:szCs w:val="20"/>
                <w:lang w:eastAsia="zh-CN"/>
              </w:rPr>
            </w:pPr>
            <w:r>
              <w:rPr>
                <w:rFonts w:ascii="宋体" w:hAnsi="宋体" w:eastAsia="宋体" w:cs="宋体"/>
                <w:spacing w:val="7"/>
                <w:sz w:val="20"/>
                <w:szCs w:val="20"/>
                <w:lang w:eastAsia="zh-CN"/>
              </w:rPr>
              <w:t>验收由招标人组织相关人员依据国家有关标准、合同及有关附件要求进行综</w:t>
            </w:r>
            <w:r>
              <w:rPr>
                <w:rFonts w:ascii="宋体" w:hAnsi="宋体" w:eastAsia="宋体" w:cs="宋体"/>
                <w:spacing w:val="6"/>
                <w:sz w:val="20"/>
                <w:szCs w:val="20"/>
                <w:lang w:eastAsia="zh-CN"/>
              </w:rPr>
              <w:t>合验收</w:t>
            </w:r>
            <w:r>
              <w:rPr>
                <w:rFonts w:hint="eastAsia" w:ascii="宋体" w:hAnsi="宋体" w:eastAsia="宋体" w:cs="宋体"/>
                <w:spacing w:val="6"/>
                <w:sz w:val="20"/>
                <w:szCs w:val="20"/>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704" w:type="dxa"/>
          </w:tcPr>
          <w:p>
            <w:pPr>
              <w:spacing w:line="330" w:lineRule="auto"/>
              <w:rPr>
                <w:lang w:eastAsia="zh-CN"/>
              </w:rPr>
            </w:pPr>
          </w:p>
          <w:p>
            <w:pPr>
              <w:spacing w:before="65" w:line="189" w:lineRule="auto"/>
              <w:ind w:left="307"/>
              <w:rPr>
                <w:rFonts w:ascii="宋体" w:hAnsi="宋体" w:eastAsia="宋体" w:cs="宋体"/>
                <w:sz w:val="20"/>
                <w:szCs w:val="20"/>
              </w:rPr>
            </w:pPr>
            <w:r>
              <w:rPr>
                <w:rFonts w:ascii="宋体" w:hAnsi="宋体" w:eastAsia="宋体" w:cs="宋体"/>
                <w:sz w:val="20"/>
                <w:szCs w:val="20"/>
              </w:rPr>
              <w:t>6</w:t>
            </w:r>
          </w:p>
        </w:tc>
        <w:tc>
          <w:tcPr>
            <w:tcW w:w="1594" w:type="dxa"/>
          </w:tcPr>
          <w:p>
            <w:pPr>
              <w:spacing w:line="298" w:lineRule="auto"/>
            </w:pPr>
          </w:p>
          <w:p>
            <w:pPr>
              <w:spacing w:before="65" w:line="228" w:lineRule="auto"/>
              <w:ind w:left="590"/>
              <w:rPr>
                <w:rFonts w:ascii="宋体" w:hAnsi="宋体" w:eastAsia="宋体" w:cs="宋体"/>
                <w:sz w:val="20"/>
                <w:szCs w:val="20"/>
              </w:rPr>
            </w:pPr>
            <w:r>
              <w:rPr>
                <w:rFonts w:ascii="宋体" w:hAnsi="宋体" w:eastAsia="宋体" w:cs="宋体"/>
                <w:spacing w:val="4"/>
                <w:sz w:val="20"/>
                <w:szCs w:val="20"/>
              </w:rPr>
              <w:t>付款</w:t>
            </w:r>
          </w:p>
        </w:tc>
        <w:tc>
          <w:tcPr>
            <w:tcW w:w="7065" w:type="dxa"/>
          </w:tcPr>
          <w:p>
            <w:pPr>
              <w:spacing w:before="52" w:line="228" w:lineRule="auto"/>
              <w:ind w:left="112"/>
              <w:rPr>
                <w:rFonts w:ascii="宋体" w:hAnsi="宋体" w:eastAsia="宋体" w:cs="宋体"/>
                <w:sz w:val="20"/>
                <w:szCs w:val="20"/>
                <w:lang w:eastAsia="zh-CN"/>
              </w:rPr>
            </w:pPr>
            <w:r>
              <w:rPr>
                <w:rFonts w:ascii="宋体" w:hAnsi="宋体" w:eastAsia="宋体" w:cs="宋体"/>
                <w:spacing w:val="8"/>
                <w:sz w:val="20"/>
                <w:szCs w:val="20"/>
                <w:lang w:eastAsia="zh-CN"/>
              </w:rPr>
              <w:t>付款人：</w:t>
            </w:r>
          </w:p>
          <w:p>
            <w:pPr>
              <w:spacing w:before="64" w:line="258" w:lineRule="auto"/>
              <w:ind w:left="113" w:right="108" w:hanging="1"/>
              <w:rPr>
                <w:rFonts w:ascii="宋体" w:hAnsi="宋体" w:eastAsia="宋体" w:cs="宋体"/>
                <w:sz w:val="20"/>
                <w:szCs w:val="20"/>
                <w:lang w:eastAsia="zh-CN"/>
              </w:rPr>
            </w:pPr>
            <w:r>
              <w:rPr>
                <w:rFonts w:ascii="宋体" w:hAnsi="宋体" w:eastAsia="宋体" w:cs="宋体"/>
                <w:spacing w:val="8"/>
                <w:sz w:val="20"/>
                <w:szCs w:val="20"/>
                <w:lang w:eastAsia="zh-CN"/>
              </w:rPr>
              <w:t>付款方式：完成交货并验收合格，且提供发票后付合同价的9</w:t>
            </w:r>
            <w:r>
              <w:rPr>
                <w:rFonts w:hint="eastAsia" w:ascii="宋体" w:hAnsi="宋体" w:eastAsia="宋体" w:cs="宋体"/>
                <w:spacing w:val="8"/>
                <w:sz w:val="20"/>
                <w:szCs w:val="20"/>
                <w:lang w:eastAsia="zh-CN"/>
              </w:rPr>
              <w:t>0</w:t>
            </w:r>
            <w:r>
              <w:rPr>
                <w:rFonts w:ascii="宋体" w:hAnsi="宋体" w:eastAsia="宋体" w:cs="宋体"/>
                <w:spacing w:val="8"/>
                <w:sz w:val="20"/>
                <w:szCs w:val="20"/>
                <w:lang w:eastAsia="zh-CN"/>
              </w:rPr>
              <w:t>%；质保期满</w:t>
            </w:r>
            <w:r>
              <w:rPr>
                <w:rFonts w:ascii="宋体" w:hAnsi="宋体" w:eastAsia="宋体" w:cs="宋体"/>
                <w:spacing w:val="6"/>
                <w:sz w:val="20"/>
                <w:szCs w:val="20"/>
                <w:lang w:eastAsia="zh-CN"/>
              </w:rPr>
              <w:t>后付清余款。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0" w:hRule="atLeast"/>
        </w:trPr>
        <w:tc>
          <w:tcPr>
            <w:tcW w:w="704" w:type="dxa"/>
          </w:tcPr>
          <w:p>
            <w:pPr>
              <w:spacing w:line="394" w:lineRule="auto"/>
              <w:rPr>
                <w:lang w:eastAsia="zh-CN"/>
              </w:rPr>
            </w:pPr>
          </w:p>
          <w:p>
            <w:pPr>
              <w:spacing w:before="65" w:line="187" w:lineRule="auto"/>
              <w:ind w:left="310"/>
              <w:rPr>
                <w:rFonts w:ascii="宋体" w:hAnsi="宋体" w:eastAsia="宋体" w:cs="宋体"/>
                <w:sz w:val="20"/>
                <w:szCs w:val="20"/>
              </w:rPr>
            </w:pPr>
            <w:r>
              <w:rPr>
                <w:rFonts w:ascii="宋体" w:hAnsi="宋体" w:eastAsia="宋体" w:cs="宋体"/>
                <w:sz w:val="20"/>
                <w:szCs w:val="20"/>
              </w:rPr>
              <w:t>7</w:t>
            </w:r>
          </w:p>
        </w:tc>
        <w:tc>
          <w:tcPr>
            <w:tcW w:w="1594" w:type="dxa"/>
          </w:tcPr>
          <w:p>
            <w:pPr>
              <w:spacing w:line="359" w:lineRule="auto"/>
            </w:pPr>
          </w:p>
          <w:p>
            <w:pPr>
              <w:spacing w:before="65" w:line="229" w:lineRule="auto"/>
              <w:ind w:left="279"/>
              <w:rPr>
                <w:rFonts w:ascii="宋体" w:hAnsi="宋体" w:eastAsia="宋体" w:cs="宋体"/>
                <w:sz w:val="20"/>
                <w:szCs w:val="20"/>
              </w:rPr>
            </w:pPr>
            <w:r>
              <w:rPr>
                <w:rFonts w:ascii="宋体" w:hAnsi="宋体" w:eastAsia="宋体" w:cs="宋体"/>
                <w:spacing w:val="7"/>
                <w:sz w:val="20"/>
                <w:szCs w:val="20"/>
              </w:rPr>
              <w:t>履约保证金</w:t>
            </w:r>
          </w:p>
        </w:tc>
        <w:tc>
          <w:tcPr>
            <w:tcW w:w="7065" w:type="dxa"/>
          </w:tcPr>
          <w:p>
            <w:pPr>
              <w:spacing w:before="23" w:line="272" w:lineRule="auto"/>
              <w:ind w:left="111" w:right="108" w:firstLine="4"/>
              <w:rPr>
                <w:rFonts w:ascii="宋体" w:hAnsi="宋体" w:eastAsia="宋体" w:cs="宋体"/>
                <w:sz w:val="20"/>
                <w:szCs w:val="20"/>
                <w:lang w:eastAsia="zh-CN"/>
              </w:rPr>
            </w:pPr>
            <w:r>
              <w:rPr>
                <w:rFonts w:ascii="宋体" w:hAnsi="宋体" w:eastAsia="宋体" w:cs="宋体"/>
                <w:spacing w:val="9"/>
                <w:sz w:val="20"/>
                <w:szCs w:val="20"/>
                <w:lang w:eastAsia="zh-CN"/>
              </w:rPr>
              <w:t>履约保证金：签订合同前向采购人缴纳合同金额的</w:t>
            </w:r>
            <w:r>
              <w:rPr>
                <w:rFonts w:ascii="Times New Roman" w:hAnsi="Times New Roman" w:eastAsia="Times New Roman" w:cs="Times New Roman"/>
                <w:spacing w:val="9"/>
                <w:sz w:val="20"/>
                <w:szCs w:val="20"/>
                <w:lang w:eastAsia="zh-CN"/>
              </w:rPr>
              <w:t>2%</w:t>
            </w:r>
            <w:r>
              <w:rPr>
                <w:rFonts w:ascii="宋体" w:hAnsi="宋体" w:eastAsia="宋体" w:cs="宋体"/>
                <w:spacing w:val="9"/>
                <w:sz w:val="20"/>
                <w:szCs w:val="20"/>
                <w:lang w:eastAsia="zh-CN"/>
              </w:rPr>
              <w:t>的履约保证金。（政府采购货物和服务项目履约保证金最高缴纳</w:t>
            </w:r>
            <w:r>
              <w:rPr>
                <w:rFonts w:ascii="宋体" w:hAnsi="宋体" w:eastAsia="宋体" w:cs="宋体"/>
                <w:spacing w:val="8"/>
                <w:sz w:val="20"/>
                <w:szCs w:val="20"/>
                <w:lang w:eastAsia="zh-CN"/>
              </w:rPr>
              <w:t>比例不超过合同金额的2.5%）</w:t>
            </w:r>
          </w:p>
          <w:p>
            <w:pPr>
              <w:spacing w:before="65" w:line="229" w:lineRule="auto"/>
              <w:ind w:left="115"/>
              <w:rPr>
                <w:rFonts w:ascii="宋体" w:hAnsi="宋体" w:eastAsia="宋体" w:cs="宋体"/>
                <w:sz w:val="20"/>
                <w:szCs w:val="20"/>
                <w:lang w:eastAsia="zh-CN"/>
              </w:rPr>
            </w:pPr>
            <w:r>
              <w:rPr>
                <w:rFonts w:ascii="宋体" w:hAnsi="宋体" w:eastAsia="宋体" w:cs="宋体"/>
                <w:spacing w:val="8"/>
                <w:sz w:val="20"/>
                <w:szCs w:val="20"/>
                <w:lang w:eastAsia="zh-CN"/>
              </w:rPr>
              <w:t>履约保证金形式：转账、电汇、保函。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5" w:hRule="atLeast"/>
        </w:trPr>
        <w:tc>
          <w:tcPr>
            <w:tcW w:w="704" w:type="dxa"/>
          </w:tcPr>
          <w:p>
            <w:pPr>
              <w:spacing w:line="241" w:lineRule="auto"/>
              <w:rPr>
                <w:lang w:eastAsia="zh-CN"/>
              </w:rPr>
            </w:pPr>
          </w:p>
          <w:p>
            <w:pPr>
              <w:spacing w:line="241" w:lineRule="auto"/>
              <w:rPr>
                <w:lang w:eastAsia="zh-CN"/>
              </w:rPr>
            </w:pPr>
          </w:p>
          <w:p>
            <w:pPr>
              <w:spacing w:line="241" w:lineRule="auto"/>
              <w:rPr>
                <w:lang w:eastAsia="zh-CN"/>
              </w:rPr>
            </w:pPr>
          </w:p>
          <w:p>
            <w:pPr>
              <w:spacing w:line="241" w:lineRule="auto"/>
              <w:rPr>
                <w:lang w:eastAsia="zh-CN"/>
              </w:rPr>
            </w:pPr>
          </w:p>
          <w:p>
            <w:pPr>
              <w:spacing w:line="241" w:lineRule="auto"/>
              <w:rPr>
                <w:lang w:eastAsia="zh-CN"/>
              </w:rPr>
            </w:pPr>
          </w:p>
          <w:p>
            <w:pPr>
              <w:spacing w:line="241"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line="242" w:lineRule="auto"/>
              <w:rPr>
                <w:lang w:eastAsia="zh-CN"/>
              </w:rPr>
            </w:pPr>
          </w:p>
          <w:p>
            <w:pPr>
              <w:spacing w:before="65" w:line="189" w:lineRule="auto"/>
              <w:ind w:left="306"/>
              <w:rPr>
                <w:rFonts w:ascii="宋体" w:hAnsi="宋体" w:eastAsia="宋体" w:cs="宋体"/>
                <w:sz w:val="20"/>
                <w:szCs w:val="20"/>
              </w:rPr>
            </w:pPr>
            <w:r>
              <w:rPr>
                <w:rFonts w:ascii="宋体" w:hAnsi="宋体" w:eastAsia="宋体" w:cs="宋体"/>
                <w:sz w:val="20"/>
                <w:szCs w:val="20"/>
              </w:rPr>
              <w:t>8</w:t>
            </w:r>
          </w:p>
        </w:tc>
        <w:tc>
          <w:tcPr>
            <w:tcW w:w="1594" w:type="dxa"/>
          </w:tcPr>
          <w:p>
            <w:pPr>
              <w:spacing w:line="258"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before="65" w:line="229" w:lineRule="auto"/>
              <w:ind w:left="591"/>
              <w:rPr>
                <w:rFonts w:ascii="宋体" w:hAnsi="宋体" w:eastAsia="宋体" w:cs="宋体"/>
                <w:sz w:val="20"/>
                <w:szCs w:val="20"/>
              </w:rPr>
            </w:pPr>
            <w:r>
              <w:rPr>
                <w:rFonts w:ascii="宋体" w:hAnsi="宋体" w:eastAsia="宋体" w:cs="宋体"/>
                <w:spacing w:val="4"/>
                <w:sz w:val="20"/>
                <w:szCs w:val="20"/>
              </w:rPr>
              <w:t>其他</w:t>
            </w:r>
          </w:p>
        </w:tc>
        <w:tc>
          <w:tcPr>
            <w:tcW w:w="7065" w:type="dxa"/>
          </w:tcPr>
          <w:p>
            <w:pPr>
              <w:spacing w:before="205" w:line="228" w:lineRule="auto"/>
              <w:ind w:left="135"/>
              <w:rPr>
                <w:rFonts w:ascii="宋体" w:hAnsi="宋体" w:eastAsia="宋体" w:cs="宋体"/>
                <w:sz w:val="20"/>
                <w:szCs w:val="20"/>
                <w:lang w:eastAsia="zh-CN"/>
              </w:rPr>
            </w:pPr>
            <w:r>
              <w:rPr>
                <w:rFonts w:ascii="宋体" w:hAnsi="宋体" w:eastAsia="宋体" w:cs="宋体"/>
                <w:spacing w:val="3"/>
                <w:sz w:val="20"/>
                <w:szCs w:val="20"/>
                <w:lang w:eastAsia="zh-CN"/>
              </w:rPr>
              <w:t>以下标“√”的为本项目要求，其余未标“√”的不属于本</w:t>
            </w:r>
            <w:r>
              <w:rPr>
                <w:rFonts w:ascii="宋体" w:hAnsi="宋体" w:eastAsia="宋体" w:cs="宋体"/>
                <w:spacing w:val="2"/>
                <w:sz w:val="20"/>
                <w:szCs w:val="20"/>
                <w:lang w:eastAsia="zh-CN"/>
              </w:rPr>
              <w:t>项目要求：</w:t>
            </w:r>
          </w:p>
          <w:p>
            <w:pPr>
              <w:spacing w:before="158" w:line="432" w:lineRule="auto"/>
              <w:ind w:left="113" w:right="108" w:firstLine="22"/>
              <w:rPr>
                <w:rFonts w:ascii="宋体" w:hAnsi="宋体" w:eastAsia="宋体" w:cs="宋体"/>
                <w:sz w:val="20"/>
                <w:szCs w:val="20"/>
                <w:lang w:eastAsia="zh-CN"/>
              </w:rPr>
            </w:pPr>
            <w:r>
              <w:rPr>
                <w:rFonts w:ascii="宋体" w:hAnsi="宋体" w:eastAsia="宋体" w:cs="宋体"/>
                <w:spacing w:val="13"/>
                <w:sz w:val="20"/>
                <w:szCs w:val="20"/>
                <w:lang w:eastAsia="zh-CN"/>
              </w:rPr>
              <w:t>□如果磋商响应文件中附有外文资料，必须附上这些外文资料的中文</w:t>
            </w:r>
            <w:r>
              <w:rPr>
                <w:rFonts w:ascii="宋体" w:hAnsi="宋体" w:eastAsia="宋体" w:cs="宋体"/>
                <w:spacing w:val="12"/>
                <w:sz w:val="20"/>
                <w:szCs w:val="20"/>
                <w:lang w:eastAsia="zh-CN"/>
              </w:rPr>
              <w:t>翻译</w:t>
            </w:r>
            <w:r>
              <w:rPr>
                <w:rFonts w:ascii="宋体" w:hAnsi="宋体" w:eastAsia="宋体" w:cs="宋体"/>
                <w:spacing w:val="7"/>
                <w:sz w:val="20"/>
                <w:szCs w:val="20"/>
                <w:lang w:eastAsia="zh-CN"/>
              </w:rPr>
              <w:t>件。对于关键性的证明文件，供应商应在磋商响应文件中提供与外文内容相同、且由同一人签署（或盖章）的中文件，或经国内公证部门公证的中文翻</w:t>
            </w:r>
            <w:r>
              <w:rPr>
                <w:rFonts w:ascii="宋体" w:hAnsi="宋体" w:eastAsia="宋体" w:cs="宋体"/>
                <w:spacing w:val="2"/>
                <w:sz w:val="20"/>
                <w:szCs w:val="20"/>
                <w:lang w:eastAsia="zh-CN"/>
              </w:rPr>
              <w:t>译件。</w:t>
            </w:r>
          </w:p>
          <w:p>
            <w:pPr>
              <w:spacing w:before="294" w:line="228" w:lineRule="auto"/>
              <w:ind w:left="133"/>
              <w:rPr>
                <w:rFonts w:ascii="宋体" w:hAnsi="宋体" w:eastAsia="宋体" w:cs="宋体"/>
                <w:sz w:val="20"/>
                <w:szCs w:val="20"/>
                <w:lang w:eastAsia="zh-CN"/>
              </w:rPr>
            </w:pPr>
            <w:r>
              <w:rPr>
                <w:rFonts w:ascii="宋体" w:hAnsi="宋体" w:eastAsia="宋体" w:cs="宋体"/>
                <w:spacing w:val="6"/>
                <w:sz w:val="20"/>
                <w:szCs w:val="20"/>
                <w:lang w:eastAsia="zh-CN"/>
              </w:rPr>
              <w:t>□供应商所提供的货物服务，如果是国家实行许可证、计量证、压力容器证</w:t>
            </w:r>
          </w:p>
          <w:p>
            <w:pPr>
              <w:spacing w:before="233" w:line="228" w:lineRule="auto"/>
              <w:ind w:left="114"/>
              <w:rPr>
                <w:rFonts w:ascii="宋体" w:hAnsi="宋体" w:eastAsia="宋体" w:cs="宋体"/>
                <w:sz w:val="20"/>
                <w:szCs w:val="20"/>
                <w:lang w:eastAsia="zh-CN"/>
              </w:rPr>
            </w:pPr>
            <w:r>
              <w:rPr>
                <w:rFonts w:ascii="宋体" w:hAnsi="宋体" w:eastAsia="宋体" w:cs="宋体"/>
                <w:spacing w:val="9"/>
                <w:sz w:val="20"/>
                <w:szCs w:val="20"/>
                <w:lang w:eastAsia="zh-CN"/>
              </w:rPr>
              <w:t>等生产、经营准入制度的，供应商应在磋商响应文件中附上有关证书。</w:t>
            </w:r>
          </w:p>
          <w:p>
            <w:pPr>
              <w:spacing w:before="159" w:line="468" w:lineRule="exact"/>
              <w:ind w:left="136"/>
              <w:rPr>
                <w:rFonts w:ascii="宋体" w:hAnsi="宋体" w:eastAsia="宋体" w:cs="宋体"/>
                <w:sz w:val="20"/>
                <w:szCs w:val="20"/>
                <w:lang w:eastAsia="zh-CN"/>
              </w:rPr>
            </w:pPr>
            <w:r>
              <w:rPr>
                <w:rFonts w:ascii="宋体" w:hAnsi="宋体" w:eastAsia="宋体" w:cs="宋体"/>
                <w:spacing w:val="6"/>
                <w:position w:val="20"/>
                <w:sz w:val="20"/>
                <w:szCs w:val="20"/>
                <w:lang w:eastAsia="zh-CN"/>
              </w:rPr>
              <w:t>□如有进口产品，应在磋商响应文件中提供通过中国海关报关验放进入中国</w:t>
            </w:r>
          </w:p>
          <w:p>
            <w:pPr>
              <w:spacing w:before="1" w:line="227" w:lineRule="auto"/>
              <w:ind w:left="115"/>
              <w:rPr>
                <w:rFonts w:ascii="宋体" w:hAnsi="宋体" w:eastAsia="宋体" w:cs="宋体"/>
                <w:sz w:val="20"/>
                <w:szCs w:val="20"/>
                <w:lang w:eastAsia="zh-CN"/>
              </w:rPr>
            </w:pPr>
            <w:r>
              <w:rPr>
                <w:rFonts w:ascii="宋体" w:hAnsi="宋体" w:eastAsia="宋体" w:cs="宋体"/>
                <w:spacing w:val="7"/>
                <w:sz w:val="20"/>
                <w:szCs w:val="20"/>
                <w:lang w:eastAsia="zh-CN"/>
              </w:rPr>
              <w:t>境内的相关材料。</w:t>
            </w:r>
          </w:p>
          <w:p>
            <w:pPr>
              <w:spacing w:before="221" w:line="432" w:lineRule="auto"/>
              <w:ind w:left="113" w:right="108" w:firstLine="22"/>
              <w:jc w:val="both"/>
              <w:rPr>
                <w:rFonts w:ascii="宋体" w:hAnsi="宋体" w:eastAsia="宋体" w:cs="宋体"/>
                <w:sz w:val="20"/>
                <w:szCs w:val="20"/>
                <w:lang w:eastAsia="zh-CN"/>
              </w:rPr>
            </w:pPr>
            <w:r>
              <w:rPr>
                <w:rFonts w:ascii="宋体" w:hAnsi="宋体" w:eastAsia="宋体" w:cs="宋体"/>
                <w:spacing w:val="6"/>
                <w:sz w:val="20"/>
                <w:szCs w:val="20"/>
                <w:lang w:eastAsia="zh-CN"/>
              </w:rPr>
              <w:t>□若所提供的产品为国家鼓励、扶持的或节能、环保产品，应在磋商响应文</w:t>
            </w:r>
            <w:r>
              <w:rPr>
                <w:rFonts w:ascii="宋体" w:hAnsi="宋体" w:eastAsia="宋体" w:cs="宋体"/>
                <w:spacing w:val="7"/>
                <w:sz w:val="20"/>
                <w:szCs w:val="20"/>
                <w:lang w:eastAsia="zh-CN"/>
              </w:rPr>
              <w:t>件中附有国家确定的认证机构出具的、处于有效期之内的节能产品、环境标志产品认证证书。参照财政部、发展改革委、生态环境部发布的节能、环保产品政府采购品目清单，对获得认证证书的品目清单内产品实施政府优先采</w:t>
            </w:r>
            <w:bookmarkStart w:id="0" w:name="bookmark16"/>
            <w:bookmarkEnd w:id="0"/>
            <w:r>
              <w:rPr>
                <w:rFonts w:ascii="宋体" w:hAnsi="宋体" w:eastAsia="宋体" w:cs="宋体"/>
                <w:spacing w:val="7"/>
                <w:sz w:val="20"/>
                <w:szCs w:val="20"/>
                <w:lang w:eastAsia="zh-CN"/>
              </w:rPr>
              <w:t>购或强制采购。</w:t>
            </w:r>
          </w:p>
        </w:tc>
      </w:tr>
    </w:tbl>
    <w:p>
      <w:pPr>
        <w:spacing w:line="360" w:lineRule="auto"/>
        <w:rPr>
          <w:rFonts w:ascii="宋体" w:hAnsi="宋体" w:eastAsia="宋体" w:cs="宋体"/>
          <w:b/>
          <w:bCs/>
          <w:sz w:val="24"/>
          <w:szCs w:val="24"/>
          <w:lang w:eastAsia="zh-CN"/>
        </w:rPr>
      </w:pPr>
      <w:bookmarkStart w:id="2" w:name="_GoBack"/>
      <w:bookmarkEnd w:id="2"/>
      <w:bookmarkStart w:id="1" w:name="bookmark17"/>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0C8161"/>
    <w:multiLevelType w:val="singleLevel"/>
    <w:tmpl w:val="400C8161"/>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18E16DA4"/>
    <w:rsid w:val="0066388A"/>
    <w:rsid w:val="008A62A6"/>
    <w:rsid w:val="00B24DA3"/>
    <w:rsid w:val="168D4C8D"/>
    <w:rsid w:val="18E16DA4"/>
    <w:rsid w:val="1BB34C01"/>
    <w:rsid w:val="2416546A"/>
    <w:rsid w:val="38EF5A49"/>
    <w:rsid w:val="4B2477C4"/>
    <w:rsid w:val="4E8D5680"/>
    <w:rsid w:val="4ECE10DB"/>
    <w:rsid w:val="510D5033"/>
    <w:rsid w:val="60553063"/>
    <w:rsid w:val="63B7057F"/>
    <w:rsid w:val="6A8C5FF5"/>
    <w:rsid w:val="6F9A7559"/>
    <w:rsid w:val="71373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页脚 Char"/>
    <w:basedOn w:val="6"/>
    <w:link w:val="2"/>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2181</Words>
  <Characters>2451</Characters>
  <Lines>18</Lines>
  <Paragraphs>5</Paragraphs>
  <TotalTime>28</TotalTime>
  <ScaleCrop>false</ScaleCrop>
  <LinksUpToDate>false</LinksUpToDate>
  <CharactersWithSpaces>2479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2024-05-27T07:00:00Z</dcterms:created>
  <dc:creator>花开盛夏</dc:creator>
  <cp:lastModifiedBy>高杨</cp:lastModifiedBy>
  <cp:lastPrinted>2024-05-27T08:05:00Z</cp:lastPrinted>
  <dcterms:modified xsi:type="dcterms:W3CDTF">2024-06-11T02:18:46Z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B312D6C54C5A4770B47C7AE489B60FD0_13</vt:lpwstr>
  </property>
</Properties>
</file>