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bookmarkStart w:id="0" w:name="_GoBack"/>
      <w:bookmarkEnd w:id="0"/>
      <w:r>
        <w:rPr>
          <w:rFonts w:hint="eastAsia"/>
          <w:b/>
          <w:bCs/>
          <w:sz w:val="24"/>
        </w:rPr>
        <w:t>第一节 采购要求</w:t>
      </w:r>
    </w:p>
    <w:p>
      <w:pPr>
        <w:rPr>
          <w:sz w:val="24"/>
        </w:rPr>
      </w:pPr>
      <w:r>
        <w:rPr>
          <w:rFonts w:hint="eastAsia"/>
          <w:sz w:val="24"/>
        </w:rPr>
        <w:t>本项目采购服务内容为: 泌尿外科大华钬激光维保服务</w:t>
      </w:r>
    </w:p>
    <w:p>
      <w:pPr>
        <w:rPr>
          <w:sz w:val="24"/>
        </w:rPr>
      </w:pPr>
      <w:r>
        <w:rPr>
          <w:rFonts w:hint="eastAsia"/>
          <w:sz w:val="24"/>
        </w:rPr>
        <w:t>维保类型:全保，维保预算9.9万元/年，服务期3年。</w:t>
      </w:r>
    </w:p>
    <w:p>
      <w:pPr>
        <w:rPr>
          <w:sz w:val="24"/>
        </w:rPr>
      </w:pPr>
    </w:p>
    <w:p>
      <w:pPr>
        <w:rPr>
          <w:sz w:val="24"/>
        </w:rPr>
      </w:pPr>
    </w:p>
    <w:p>
      <w:pPr>
        <w:rPr>
          <w:sz w:val="24"/>
        </w:rPr>
      </w:pPr>
      <w:r>
        <w:rPr>
          <w:rFonts w:hint="eastAsia"/>
          <w:sz w:val="24"/>
        </w:rPr>
        <w:t>一、维保要求：</w:t>
      </w:r>
    </w:p>
    <w:p>
      <w:pPr>
        <w:rPr>
          <w:sz w:val="24"/>
        </w:rPr>
      </w:pPr>
      <w:r>
        <w:rPr>
          <w:rFonts w:hint="eastAsia"/>
          <w:sz w:val="24"/>
        </w:rPr>
        <w:t>1、提供365天*24小时免费服务（不受节假日影响）。</w:t>
      </w:r>
    </w:p>
    <w:p>
      <w:pPr>
        <w:rPr>
          <w:rFonts w:hint="eastAsia"/>
          <w:sz w:val="24"/>
        </w:rPr>
      </w:pPr>
      <w:r>
        <w:rPr>
          <w:rFonts w:hint="eastAsia"/>
          <w:sz w:val="24"/>
        </w:rPr>
        <w:t>2、每次维修、维护保养完成后，填写详细维护记录，如实反映设备运行状况。</w:t>
      </w:r>
    </w:p>
    <w:p>
      <w:pPr>
        <w:rPr>
          <w:sz w:val="24"/>
        </w:rPr>
      </w:pPr>
      <w:r>
        <w:rPr>
          <w:rFonts w:hint="eastAsia"/>
          <w:sz w:val="24"/>
        </w:rPr>
        <w:t>3、维修要求</w:t>
      </w:r>
    </w:p>
    <w:p>
      <w:pPr>
        <w:rPr>
          <w:sz w:val="24"/>
        </w:rPr>
      </w:pPr>
      <w:r>
        <w:rPr>
          <w:rFonts w:hint="eastAsia"/>
          <w:sz w:val="24"/>
        </w:rPr>
        <w:t>3.1接到院方报修通知后， 24小时内现场响应，小修1.5天内完成维修（含在途时间），如需要大修，则24小时内需提供≥75W备用钬激光机。</w:t>
      </w:r>
    </w:p>
    <w:p>
      <w:pPr>
        <w:rPr>
          <w:sz w:val="24"/>
        </w:rPr>
      </w:pPr>
      <w:r>
        <w:rPr>
          <w:rFonts w:hint="eastAsia"/>
          <w:sz w:val="24"/>
        </w:rPr>
        <w:t>3.2维修服务内容：维保设备发生的全部故障及所有配件、易耗品更换均属乙方保修服务范围。乙方需提供不限次数的免费人工维修服务，不限数量的故障备件更换服务，包含激光电源、聚光腔体、激光氙灯、保护窗口、全反镜片、输出镜片、耦合镜组等（不限于所列内容）。</w:t>
      </w:r>
    </w:p>
    <w:p>
      <w:pPr>
        <w:rPr>
          <w:sz w:val="24"/>
        </w:rPr>
      </w:pPr>
      <w:r>
        <w:rPr>
          <w:rFonts w:hint="eastAsia"/>
          <w:sz w:val="24"/>
        </w:rPr>
        <w:t>4、维护保养</w:t>
      </w:r>
    </w:p>
    <w:p>
      <w:pPr>
        <w:rPr>
          <w:sz w:val="24"/>
        </w:rPr>
      </w:pPr>
      <w:r>
        <w:rPr>
          <w:rFonts w:hint="eastAsia"/>
          <w:sz w:val="24"/>
        </w:rPr>
        <w:t xml:space="preserve">4.1定期维护保养每年不少于 </w:t>
      </w:r>
      <w:r>
        <w:rPr>
          <w:rFonts w:hint="eastAsia"/>
          <w:sz w:val="24"/>
          <w:lang w:val="en-US" w:eastAsia="zh-CN"/>
        </w:rPr>
        <w:t>4</w:t>
      </w:r>
      <w:r>
        <w:rPr>
          <w:rFonts w:hint="eastAsia"/>
          <w:color w:val="FF0000"/>
          <w:sz w:val="24"/>
        </w:rPr>
        <w:t xml:space="preserve"> </w:t>
      </w:r>
      <w:r>
        <w:rPr>
          <w:rFonts w:hint="eastAsia"/>
          <w:sz w:val="24"/>
        </w:rPr>
        <w:t>次，每季度不少于</w:t>
      </w:r>
      <w:r>
        <w:rPr>
          <w:rFonts w:hint="eastAsia"/>
          <w:color w:val="auto"/>
          <w:sz w:val="24"/>
        </w:rPr>
        <w:t xml:space="preserve"> </w:t>
      </w:r>
      <w:r>
        <w:rPr>
          <w:rFonts w:hint="eastAsia"/>
          <w:color w:val="auto"/>
          <w:sz w:val="24"/>
          <w:lang w:val="en-US" w:eastAsia="zh-CN"/>
        </w:rPr>
        <w:t>1</w:t>
      </w:r>
      <w:r>
        <w:rPr>
          <w:rFonts w:hint="eastAsia"/>
          <w:sz w:val="24"/>
        </w:rPr>
        <w:t>次</w:t>
      </w:r>
    </w:p>
    <w:p>
      <w:pPr>
        <w:rPr>
          <w:rFonts w:hint="eastAsia"/>
          <w:sz w:val="24"/>
        </w:rPr>
      </w:pPr>
      <w:r>
        <w:rPr>
          <w:rFonts w:hint="eastAsia"/>
          <w:sz w:val="24"/>
        </w:rPr>
        <w:t>4.2、维护保养内容：电气安全检测维护、屏幕显示检测维护、激光器输出能量检测维护、设备制冷系统检测维护、设备控制系统检测维护等；每180天更换滤芯，每365天更换纯化柱。</w:t>
      </w:r>
    </w:p>
    <w:p>
      <w:pPr>
        <w:rPr>
          <w:sz w:val="24"/>
        </w:rPr>
      </w:pPr>
      <w:r>
        <w:rPr>
          <w:rFonts w:hint="eastAsia"/>
          <w:sz w:val="24"/>
        </w:rPr>
        <w:t>二、服务要求：</w:t>
      </w:r>
    </w:p>
    <w:p>
      <w:pPr>
        <w:rPr>
          <w:sz w:val="24"/>
        </w:rPr>
      </w:pPr>
      <w:r>
        <w:rPr>
          <w:rFonts w:hint="eastAsia"/>
          <w:sz w:val="24"/>
        </w:rPr>
        <w:t>1、投标公司具有有效的企业法人营业执照副本、税务登记证、组织机构代码证副本等有效证件复印件（若已办理三证合一的，则只需提供有效的三证合一证书），投标人具有履行合同必需的设备和专业技术能力。</w:t>
      </w:r>
    </w:p>
    <w:p>
      <w:pPr>
        <w:rPr>
          <w:sz w:val="24"/>
        </w:rPr>
      </w:pPr>
      <w:r>
        <w:rPr>
          <w:rFonts w:hint="eastAsia"/>
          <w:sz w:val="24"/>
        </w:rPr>
        <w:t>2、本项目采用最低价中标，不接受分包。</w:t>
      </w:r>
    </w:p>
    <w:p>
      <w:pPr>
        <w:rPr>
          <w:sz w:val="24"/>
        </w:rPr>
      </w:pPr>
      <w:r>
        <w:rPr>
          <w:rFonts w:hint="eastAsia"/>
          <w:sz w:val="24"/>
        </w:rPr>
        <w:t>三、考核办法</w:t>
      </w:r>
      <w:r>
        <w:rPr>
          <w:rFonts w:hint="eastAsia"/>
          <w:sz w:val="24"/>
        </w:rPr>
        <w:tab/>
      </w:r>
    </w:p>
    <w:p>
      <w:pPr>
        <w:rPr>
          <w:sz w:val="24"/>
        </w:rPr>
      </w:pPr>
      <w:r>
        <w:rPr>
          <w:rFonts w:hint="eastAsia"/>
          <w:sz w:val="24"/>
        </w:rPr>
        <w:t>3.1 考核组织：医院成立考核管理小组，由设备使用科室泌尿外科及医学装备科组织考核小组对中标方服务质量进行全面考核管理。</w:t>
      </w:r>
    </w:p>
    <w:p>
      <w:pPr>
        <w:rPr>
          <w:sz w:val="24"/>
        </w:rPr>
      </w:pPr>
      <w:r>
        <w:rPr>
          <w:rFonts w:hint="eastAsia"/>
          <w:sz w:val="24"/>
        </w:rPr>
        <w:t>3.2考核方法：每季度（三个月）考核一次，考核满分为100分，80分为合格分。考核小组成员现场检查打分，满分100分。泌尿外科和医学装备科打分总数的平均数为每季度分数，4个季度的平均分为每年度考核分数。</w:t>
      </w:r>
    </w:p>
    <w:p>
      <w:pPr>
        <w:rPr>
          <w:sz w:val="24"/>
        </w:rPr>
      </w:pPr>
      <w:r>
        <w:rPr>
          <w:rFonts w:hint="eastAsia"/>
          <w:sz w:val="24"/>
        </w:rPr>
        <w:t>3.3具体考核内容：</w:t>
      </w:r>
    </w:p>
    <w:p>
      <w:pPr>
        <w:rPr>
          <w:sz w:val="24"/>
        </w:rPr>
      </w:pPr>
      <w:r>
        <w:rPr>
          <w:rFonts w:hint="eastAsia"/>
          <w:sz w:val="24"/>
        </w:rPr>
        <w:t>3.3.1一票否决项：中标方需在合同生效后15日内检测、检修设备，更换老化配件和耗材。此项做不到为一票否决，可直接解除合同。</w:t>
      </w:r>
    </w:p>
    <w:p>
      <w:pPr>
        <w:rPr>
          <w:sz w:val="24"/>
        </w:rPr>
      </w:pPr>
      <w:r>
        <w:rPr>
          <w:rFonts w:hint="eastAsia"/>
          <w:sz w:val="24"/>
        </w:rPr>
        <w:t>3.3.2每次考核80分为合格（含80分），低于80分，每下降一分扣本年度维保费的1%，依次类推。（考核标准由医院制定）</w:t>
      </w:r>
    </w:p>
    <w:p>
      <w:pPr>
        <w:rPr>
          <w:sz w:val="24"/>
        </w:rPr>
      </w:pPr>
      <w:r>
        <w:rPr>
          <w:rFonts w:hint="eastAsia"/>
          <w:sz w:val="24"/>
        </w:rPr>
        <w:t>3.3.3单项处罚：中标方因安全生产检查等原因被医院通报批评，根据情节处以1000-2000元扣款，不能及时整改根据情节处以100-500元扣款。</w:t>
      </w:r>
    </w:p>
    <w:p>
      <w:pPr>
        <w:rPr>
          <w:sz w:val="24"/>
        </w:rPr>
      </w:pPr>
      <w:r>
        <w:rPr>
          <w:rFonts w:hint="eastAsia"/>
          <w:sz w:val="24"/>
        </w:rPr>
        <w:t>3.3.4中标方因维保质量发生安全事故造成设备设施损坏，按照设备实价赔偿并解除合同。</w:t>
      </w:r>
    </w:p>
    <w:p>
      <w:pPr>
        <w:rPr>
          <w:sz w:val="24"/>
        </w:rPr>
      </w:pPr>
      <w:r>
        <w:rPr>
          <w:rFonts w:hint="eastAsia"/>
          <w:sz w:val="24"/>
        </w:rPr>
        <w:t>3.3.5考核表（服务履行过程中持续修订）</w:t>
      </w:r>
    </w:p>
    <w:p>
      <w:pPr>
        <w:pStyle w:val="2"/>
      </w:pPr>
    </w:p>
    <w:p>
      <w:pPr>
        <w:pStyle w:val="2"/>
      </w:pPr>
    </w:p>
    <w:p>
      <w:pPr>
        <w:pStyle w:val="2"/>
      </w:pPr>
    </w:p>
    <w:p>
      <w:pPr>
        <w:pStyle w:val="2"/>
      </w:pPr>
    </w:p>
    <w:p>
      <w:pPr>
        <w:pStyle w:val="2"/>
      </w:pPr>
    </w:p>
    <w:tbl>
      <w:tblPr>
        <w:tblStyle w:val="7"/>
        <w:tblW w:w="9640" w:type="dxa"/>
        <w:tblInd w:w="-552" w:type="dxa"/>
        <w:tblLayout w:type="fixed"/>
        <w:tblCellMar>
          <w:top w:w="15" w:type="dxa"/>
          <w:left w:w="15" w:type="dxa"/>
          <w:bottom w:w="15" w:type="dxa"/>
          <w:right w:w="15" w:type="dxa"/>
        </w:tblCellMar>
      </w:tblPr>
      <w:tblGrid>
        <w:gridCol w:w="1401"/>
        <w:gridCol w:w="3075"/>
        <w:gridCol w:w="1071"/>
        <w:gridCol w:w="3109"/>
        <w:gridCol w:w="984"/>
      </w:tblGrid>
      <w:tr>
        <w:tblPrEx>
          <w:tblCellMar>
            <w:top w:w="15" w:type="dxa"/>
            <w:left w:w="15" w:type="dxa"/>
            <w:bottom w:w="15" w:type="dxa"/>
            <w:right w:w="15" w:type="dxa"/>
          </w:tblCellMar>
        </w:tblPrEx>
        <w:trPr>
          <w:trHeight w:val="615" w:hRule="atLeast"/>
        </w:trPr>
        <w:tc>
          <w:tcPr>
            <w:tcW w:w="9640" w:type="dxa"/>
            <w:gridSpan w:val="5"/>
            <w:vAlign w:val="center"/>
          </w:tcPr>
          <w:p>
            <w:pPr>
              <w:jc w:val="center"/>
              <w:textAlignment w:val="center"/>
              <w:rPr>
                <w:rFonts w:ascii="仿宋" w:hAnsi="仿宋" w:eastAsia="仿宋" w:cs="仿宋"/>
                <w:color w:val="000000"/>
                <w:sz w:val="32"/>
                <w:szCs w:val="32"/>
              </w:rPr>
            </w:pPr>
            <w:r>
              <w:rPr>
                <w:rFonts w:hint="eastAsia" w:ascii="仿宋" w:hAnsi="仿宋" w:eastAsia="仿宋" w:cs="仿宋"/>
                <w:color w:val="000000"/>
                <w:sz w:val="32"/>
                <w:szCs w:val="32"/>
              </w:rPr>
              <w:t>市人医院大华钬激光维保考评表</w:t>
            </w:r>
          </w:p>
        </w:tc>
      </w:tr>
      <w:tr>
        <w:tblPrEx>
          <w:tblCellMar>
            <w:top w:w="15" w:type="dxa"/>
            <w:left w:w="15" w:type="dxa"/>
            <w:bottom w:w="15" w:type="dxa"/>
            <w:right w:w="15" w:type="dxa"/>
          </w:tblCellMar>
        </w:tblPrEx>
        <w:trPr>
          <w:trHeight w:val="489" w:hRule="atLeast"/>
        </w:trPr>
        <w:tc>
          <w:tcPr>
            <w:tcW w:w="4476" w:type="dxa"/>
            <w:gridSpan w:val="2"/>
            <w:vAlign w:val="center"/>
          </w:tcPr>
          <w:p>
            <w:pPr>
              <w:rPr>
                <w:rFonts w:ascii="宋体" w:hAnsi="宋体" w:cs="宋体"/>
                <w:color w:val="000000"/>
                <w:sz w:val="24"/>
              </w:rPr>
            </w:pPr>
            <w:r>
              <w:rPr>
                <w:rFonts w:hint="eastAsia" w:ascii="仿宋" w:hAnsi="仿宋" w:eastAsia="仿宋" w:cs="仿宋"/>
                <w:color w:val="000000"/>
                <w:sz w:val="32"/>
                <w:szCs w:val="32"/>
              </w:rPr>
              <w:t>考评科室：</w:t>
            </w:r>
          </w:p>
        </w:tc>
        <w:tc>
          <w:tcPr>
            <w:tcW w:w="1071" w:type="dxa"/>
            <w:vAlign w:val="center"/>
          </w:tcPr>
          <w:p>
            <w:pPr>
              <w:jc w:val="center"/>
              <w:rPr>
                <w:rFonts w:ascii="宋体" w:hAnsi="宋体" w:cs="宋体"/>
                <w:color w:val="000000"/>
                <w:sz w:val="24"/>
              </w:rPr>
            </w:pPr>
          </w:p>
        </w:tc>
        <w:tc>
          <w:tcPr>
            <w:tcW w:w="3109" w:type="dxa"/>
            <w:vAlign w:val="center"/>
          </w:tcPr>
          <w:p>
            <w:pPr>
              <w:jc w:val="center"/>
              <w:textAlignment w:val="center"/>
              <w:rPr>
                <w:rFonts w:ascii="宋体" w:hAnsi="宋体" w:cs="宋体"/>
                <w:color w:val="000000"/>
                <w:sz w:val="24"/>
              </w:rPr>
            </w:pPr>
            <w:r>
              <w:rPr>
                <w:rFonts w:hint="eastAsia" w:ascii="宋体" w:hAnsi="宋体" w:cs="宋体"/>
                <w:color w:val="000000"/>
                <w:sz w:val="24"/>
              </w:rPr>
              <w:t xml:space="preserve">      </w:t>
            </w:r>
            <w:r>
              <w:rPr>
                <w:rFonts w:hint="eastAsia" w:ascii="仿宋" w:hAnsi="仿宋" w:eastAsia="仿宋" w:cs="仿宋"/>
                <w:color w:val="000000"/>
                <w:sz w:val="32"/>
                <w:szCs w:val="32"/>
              </w:rPr>
              <w:t>年    季度</w:t>
            </w:r>
          </w:p>
        </w:tc>
        <w:tc>
          <w:tcPr>
            <w:tcW w:w="984" w:type="dxa"/>
            <w:vAlign w:val="center"/>
          </w:tcPr>
          <w:p>
            <w:pPr>
              <w:jc w:val="center"/>
              <w:rPr>
                <w:rFonts w:ascii="宋体" w:hAnsi="宋体" w:cs="宋体"/>
                <w:color w:val="000000"/>
                <w:sz w:val="24"/>
              </w:rPr>
            </w:pPr>
          </w:p>
        </w:tc>
      </w:tr>
      <w:tr>
        <w:tblPrEx>
          <w:tblCellMar>
            <w:top w:w="15" w:type="dxa"/>
            <w:left w:w="15" w:type="dxa"/>
            <w:bottom w:w="15" w:type="dxa"/>
            <w:right w:w="15" w:type="dxa"/>
          </w:tblCellMar>
        </w:tblPrEx>
        <w:trPr>
          <w:trHeight w:val="660" w:hRule="atLeast"/>
        </w:trPr>
        <w:tc>
          <w:tcPr>
            <w:tcW w:w="140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顺序</w:t>
            </w:r>
          </w:p>
        </w:tc>
        <w:tc>
          <w:tcPr>
            <w:tcW w:w="307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标准内容</w:t>
            </w:r>
          </w:p>
        </w:tc>
        <w:tc>
          <w:tcPr>
            <w:tcW w:w="107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标准分值</w:t>
            </w:r>
          </w:p>
        </w:tc>
        <w:tc>
          <w:tcPr>
            <w:tcW w:w="310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评分方法</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得分</w:t>
            </w:r>
          </w:p>
        </w:tc>
      </w:tr>
      <w:tr>
        <w:tblPrEx>
          <w:tblCellMar>
            <w:top w:w="15" w:type="dxa"/>
            <w:left w:w="15" w:type="dxa"/>
            <w:bottom w:w="15" w:type="dxa"/>
            <w:right w:w="15" w:type="dxa"/>
          </w:tblCellMar>
        </w:tblPrEx>
        <w:trPr>
          <w:trHeight w:val="492" w:hRule="atLeast"/>
        </w:trPr>
        <w:tc>
          <w:tcPr>
            <w:tcW w:w="1401" w:type="dxa"/>
            <w:vMerge w:val="restart"/>
            <w:tcBorders>
              <w:top w:val="single" w:color="000000" w:sz="4" w:space="0"/>
              <w:left w:val="single" w:color="000000" w:sz="4" w:space="0"/>
              <w:right w:val="single" w:color="000000" w:sz="4" w:space="0"/>
            </w:tcBorders>
            <w:vAlign w:val="center"/>
          </w:tcPr>
          <w:p>
            <w:pPr>
              <w:rPr>
                <w:rFonts w:ascii="仿宋" w:hAnsi="仿宋" w:eastAsia="仿宋" w:cs="仿宋"/>
                <w:color w:val="000000"/>
                <w:sz w:val="24"/>
              </w:rPr>
            </w:pPr>
            <w:r>
              <w:rPr>
                <w:rFonts w:hint="eastAsia" w:ascii="仿宋" w:hAnsi="仿宋" w:eastAsia="仿宋" w:cs="仿宋"/>
                <w:color w:val="000000"/>
                <w:sz w:val="24"/>
              </w:rPr>
              <w:t>一、配件、易耗品要求20分</w:t>
            </w:r>
          </w:p>
        </w:tc>
        <w:tc>
          <w:tcPr>
            <w:tcW w:w="3075"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1、维修所使用配件均为全新</w:t>
            </w:r>
          </w:p>
        </w:tc>
        <w:tc>
          <w:tcPr>
            <w:tcW w:w="1071" w:type="dxa"/>
            <w:tcBorders>
              <w:top w:val="single" w:color="000000" w:sz="4" w:space="0"/>
              <w:left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若发现一次非全新配件扣一分，直至扣完。</w:t>
            </w:r>
          </w:p>
        </w:tc>
        <w:tc>
          <w:tcPr>
            <w:tcW w:w="984" w:type="dxa"/>
            <w:tcBorders>
              <w:top w:val="single" w:color="000000" w:sz="4" w:space="0"/>
              <w:left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15" w:hRule="atLeast"/>
        </w:trPr>
        <w:tc>
          <w:tcPr>
            <w:tcW w:w="1401" w:type="dxa"/>
            <w:vMerge w:val="continue"/>
            <w:tcBorders>
              <w:left w:val="single" w:color="000000" w:sz="4" w:space="0"/>
              <w:bottom w:val="single" w:color="000000" w:sz="4" w:space="0"/>
              <w:right w:val="single" w:color="000000" w:sz="4" w:space="0"/>
            </w:tcBorders>
            <w:vAlign w:val="center"/>
          </w:tcPr>
          <w:p>
            <w:pPr>
              <w:rPr>
                <w:rFonts w:ascii="仿宋" w:hAnsi="仿宋" w:eastAsia="仿宋" w:cs="仿宋"/>
                <w:color w:val="000000"/>
                <w:sz w:val="24"/>
              </w:rPr>
            </w:pPr>
          </w:p>
        </w:tc>
        <w:tc>
          <w:tcPr>
            <w:tcW w:w="3075"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2、维护所提供易耗品均为全新</w:t>
            </w:r>
          </w:p>
        </w:tc>
        <w:tc>
          <w:tcPr>
            <w:tcW w:w="1071" w:type="dxa"/>
            <w:tcBorders>
              <w:top w:val="single" w:color="000000" w:sz="4" w:space="0"/>
              <w:left w:val="single" w:color="000000" w:sz="4" w:space="0"/>
              <w:right w:val="single" w:color="000000" w:sz="4" w:space="0"/>
            </w:tcBorders>
            <w:vAlign w:val="center"/>
          </w:tcPr>
          <w:p>
            <w:pPr>
              <w:jc w:val="center"/>
              <w:textAlignment w:val="center"/>
              <w:rPr>
                <w:rFonts w:ascii="仿宋" w:hAnsi="仿宋" w:eastAsia="仿宋" w:cs="仿宋"/>
                <w:sz w:val="24"/>
              </w:rPr>
            </w:pPr>
            <w:r>
              <w:rPr>
                <w:rFonts w:hint="eastAsia" w:ascii="仿宋" w:hAnsi="仿宋" w:eastAsia="仿宋" w:cs="仿宋"/>
                <w:sz w:val="24"/>
              </w:rPr>
              <w:t>10分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sz w:val="24"/>
              </w:rPr>
            </w:pPr>
            <w:r>
              <w:rPr>
                <w:rFonts w:hint="eastAsia" w:ascii="仿宋" w:hAnsi="仿宋" w:eastAsia="仿宋" w:cs="仿宋"/>
                <w:color w:val="000000"/>
                <w:sz w:val="24"/>
              </w:rPr>
              <w:t>若发现一次非全新易耗品扣一分，直至扣完。</w:t>
            </w:r>
          </w:p>
        </w:tc>
        <w:tc>
          <w:tcPr>
            <w:tcW w:w="984" w:type="dxa"/>
            <w:tcBorders>
              <w:top w:val="single" w:color="000000" w:sz="4" w:space="0"/>
              <w:left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60" w:hRule="atLeast"/>
        </w:trPr>
        <w:tc>
          <w:tcPr>
            <w:tcW w:w="1401"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4"/>
              </w:rPr>
            </w:pPr>
            <w:r>
              <w:rPr>
                <w:rFonts w:hint="eastAsia" w:ascii="仿宋" w:hAnsi="仿宋" w:eastAsia="仿宋" w:cs="仿宋"/>
                <w:color w:val="000000"/>
                <w:sz w:val="24"/>
              </w:rPr>
              <w:t>二、备用设备20分</w:t>
            </w:r>
          </w:p>
        </w:tc>
        <w:tc>
          <w:tcPr>
            <w:tcW w:w="3075"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3、大修是否提供备用机。</w:t>
            </w:r>
          </w:p>
        </w:tc>
        <w:tc>
          <w:tcPr>
            <w:tcW w:w="1071" w:type="dxa"/>
            <w:tcBorders>
              <w:top w:val="single" w:color="000000" w:sz="4" w:space="0"/>
              <w:left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20分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符合：20分，不符合：0分</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30" w:hRule="atLeast"/>
        </w:trPr>
        <w:tc>
          <w:tcPr>
            <w:tcW w:w="1401" w:type="dxa"/>
            <w:vMerge w:val="restart"/>
            <w:tcBorders>
              <w:top w:val="single" w:color="000000" w:sz="4" w:space="0"/>
              <w:left w:val="single" w:color="000000" w:sz="4" w:space="0"/>
              <w:right w:val="single" w:color="000000" w:sz="4" w:space="0"/>
            </w:tcBorders>
            <w:vAlign w:val="center"/>
          </w:tcPr>
          <w:p>
            <w:pPr>
              <w:rPr>
                <w:rFonts w:ascii="仿宋" w:hAnsi="仿宋" w:eastAsia="仿宋" w:cs="仿宋"/>
                <w:color w:val="000000"/>
                <w:sz w:val="24"/>
              </w:rPr>
            </w:pPr>
            <w:r>
              <w:rPr>
                <w:rFonts w:hint="eastAsia" w:ascii="仿宋" w:hAnsi="仿宋" w:eastAsia="仿宋" w:cs="仿宋"/>
                <w:color w:val="000000"/>
                <w:sz w:val="24"/>
              </w:rPr>
              <w:t>三、维修及时性20分</w:t>
            </w:r>
          </w:p>
        </w:tc>
        <w:tc>
          <w:tcPr>
            <w:tcW w:w="3075" w:type="dxa"/>
            <w:tcBorders>
              <w:top w:val="single" w:color="000000" w:sz="4" w:space="0"/>
              <w:left w:val="single" w:color="000000" w:sz="4" w:space="0"/>
              <w:bottom w:val="single" w:color="000000" w:sz="4" w:space="0"/>
              <w:right w:val="single" w:color="000000" w:sz="4" w:space="0"/>
            </w:tcBorders>
            <w:vAlign w:val="center"/>
          </w:tcPr>
          <w:p>
            <w:pPr>
              <w:pStyle w:val="6"/>
              <w:spacing w:after="0"/>
              <w:ind w:left="0" w:leftChars="0" w:firstLine="0" w:firstLineChars="0"/>
              <w:rPr>
                <w:rFonts w:ascii="仿宋" w:hAnsi="仿宋" w:eastAsia="仿宋" w:cs="仿宋"/>
                <w:color w:val="000000"/>
                <w:sz w:val="24"/>
              </w:rPr>
            </w:pPr>
            <w:r>
              <w:rPr>
                <w:rFonts w:hint="eastAsia" w:ascii="仿宋" w:hAnsi="仿宋" w:eastAsia="仿宋" w:cs="仿宋"/>
                <w:color w:val="000000"/>
                <w:sz w:val="24"/>
              </w:rPr>
              <w:t>4、有驻点工程师或保证1小时电话响应，24小时到达现场维修，小修1.5天内完成维修。</w:t>
            </w:r>
          </w:p>
        </w:tc>
        <w:tc>
          <w:tcPr>
            <w:tcW w:w="107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1次不及时扣1分，直至扣完。</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30" w:hRule="atLeast"/>
        </w:trPr>
        <w:tc>
          <w:tcPr>
            <w:tcW w:w="1401" w:type="dxa"/>
            <w:vMerge w:val="continue"/>
            <w:tcBorders>
              <w:left w:val="single" w:color="000000" w:sz="4" w:space="0"/>
              <w:bottom w:val="single" w:color="000000" w:sz="4" w:space="0"/>
              <w:right w:val="single" w:color="000000" w:sz="4" w:space="0"/>
            </w:tcBorders>
            <w:vAlign w:val="center"/>
          </w:tcPr>
          <w:p>
            <w:pPr>
              <w:rPr>
                <w:rFonts w:ascii="仿宋" w:hAnsi="仿宋" w:eastAsia="仿宋" w:cs="仿宋"/>
                <w:color w:val="000000"/>
                <w:sz w:val="24"/>
              </w:rPr>
            </w:pPr>
          </w:p>
        </w:tc>
        <w:tc>
          <w:tcPr>
            <w:tcW w:w="3075" w:type="dxa"/>
            <w:tcBorders>
              <w:top w:val="single" w:color="000000" w:sz="4" w:space="0"/>
              <w:left w:val="single" w:color="000000" w:sz="4" w:space="0"/>
              <w:bottom w:val="single" w:color="000000" w:sz="4" w:space="0"/>
              <w:right w:val="single" w:color="000000" w:sz="4" w:space="0"/>
            </w:tcBorders>
            <w:vAlign w:val="center"/>
          </w:tcPr>
          <w:p>
            <w:pPr>
              <w:pStyle w:val="6"/>
              <w:spacing w:after="0"/>
              <w:ind w:left="0" w:leftChars="0" w:firstLine="0" w:firstLineChars="0"/>
              <w:rPr>
                <w:rFonts w:ascii="仿宋" w:hAnsi="仿宋" w:eastAsia="仿宋" w:cs="仿宋"/>
                <w:color w:val="000000"/>
                <w:sz w:val="24"/>
              </w:rPr>
            </w:pPr>
            <w:r>
              <w:rPr>
                <w:rFonts w:hint="eastAsia" w:ascii="仿宋" w:hAnsi="仿宋" w:eastAsia="仿宋" w:cs="仿宋"/>
                <w:color w:val="000000"/>
                <w:sz w:val="24"/>
              </w:rPr>
              <w:t>5、计划巡查及保养维护中发现的问题能及时整改。</w:t>
            </w:r>
          </w:p>
        </w:tc>
        <w:tc>
          <w:tcPr>
            <w:tcW w:w="107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一次未及时整改扣2分，直至扣完。</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30" w:hRule="atLeast"/>
        </w:trPr>
        <w:tc>
          <w:tcPr>
            <w:tcW w:w="1401" w:type="dxa"/>
            <w:vMerge w:val="restart"/>
            <w:tcBorders>
              <w:top w:val="single" w:color="000000" w:sz="4" w:space="0"/>
              <w:left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四、维保频次、台帐及服务质量20分</w:t>
            </w:r>
          </w:p>
        </w:tc>
        <w:tc>
          <w:tcPr>
            <w:tcW w:w="3075" w:type="dxa"/>
            <w:tcBorders>
              <w:top w:val="single" w:color="000000" w:sz="4" w:space="0"/>
              <w:left w:val="single" w:color="000000" w:sz="4" w:space="0"/>
              <w:bottom w:val="single" w:color="000000" w:sz="4" w:space="0"/>
              <w:right w:val="single" w:color="000000" w:sz="4" w:space="0"/>
            </w:tcBorders>
            <w:vAlign w:val="center"/>
          </w:tcPr>
          <w:p>
            <w:pPr>
              <w:pStyle w:val="6"/>
              <w:spacing w:after="0"/>
              <w:ind w:left="0" w:leftChars="0" w:firstLine="0" w:firstLineChars="0"/>
              <w:rPr>
                <w:rFonts w:ascii="仿宋" w:hAnsi="仿宋" w:eastAsia="仿宋" w:cs="仿宋"/>
                <w:color w:val="000000"/>
                <w:sz w:val="24"/>
              </w:rPr>
            </w:pPr>
            <w:r>
              <w:rPr>
                <w:rFonts w:hint="eastAsia" w:ascii="仿宋" w:hAnsi="仿宋" w:eastAsia="仿宋" w:cs="仿宋"/>
                <w:color w:val="000000"/>
                <w:sz w:val="24"/>
              </w:rPr>
              <w:t>6、不限次数免费人工服务，有维修记录（使用科室和维修人员双方签字）</w:t>
            </w:r>
          </w:p>
        </w:tc>
        <w:tc>
          <w:tcPr>
            <w:tcW w:w="107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缺1份维修记录扣1分，直至扣完。</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30" w:hRule="atLeast"/>
        </w:trPr>
        <w:tc>
          <w:tcPr>
            <w:tcW w:w="1401" w:type="dxa"/>
            <w:vMerge w:val="continue"/>
            <w:tcBorders>
              <w:left w:val="single" w:color="000000" w:sz="4" w:space="0"/>
              <w:right w:val="single" w:color="000000" w:sz="4" w:space="0"/>
            </w:tcBorders>
            <w:vAlign w:val="center"/>
          </w:tcPr>
          <w:p>
            <w:pPr>
              <w:jc w:val="center"/>
              <w:textAlignment w:val="center"/>
              <w:rPr>
                <w:rFonts w:ascii="仿宋" w:hAnsi="仿宋" w:eastAsia="仿宋" w:cs="仿宋"/>
                <w:color w:val="000000"/>
                <w:sz w:val="24"/>
              </w:rPr>
            </w:pPr>
          </w:p>
        </w:tc>
        <w:tc>
          <w:tcPr>
            <w:tcW w:w="3075" w:type="dxa"/>
            <w:tcBorders>
              <w:top w:val="single" w:color="000000" w:sz="4" w:space="0"/>
              <w:left w:val="single" w:color="000000" w:sz="4" w:space="0"/>
              <w:bottom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7、每次巡查提供巡查记录，须有使用科室和维修人员双方签字。</w:t>
            </w:r>
          </w:p>
        </w:tc>
        <w:tc>
          <w:tcPr>
            <w:tcW w:w="107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5分</w:t>
            </w:r>
          </w:p>
        </w:tc>
        <w:tc>
          <w:tcPr>
            <w:tcW w:w="3109" w:type="dxa"/>
            <w:tcBorders>
              <w:top w:val="single" w:color="000000" w:sz="4" w:space="0"/>
              <w:left w:val="single" w:color="000000"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缺1份巡查记录扣1分，直至扣完。</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15" w:hRule="atLeast"/>
        </w:trPr>
        <w:tc>
          <w:tcPr>
            <w:tcW w:w="1401" w:type="dxa"/>
            <w:vMerge w:val="continue"/>
            <w:tcBorders>
              <w:left w:val="single" w:color="000000" w:sz="4" w:space="0"/>
              <w:bottom w:val="single" w:color="auto" w:sz="4" w:space="0"/>
              <w:right w:val="single" w:color="000000" w:sz="4" w:space="0"/>
            </w:tcBorders>
            <w:vAlign w:val="center"/>
          </w:tcPr>
          <w:p>
            <w:pPr>
              <w:jc w:val="center"/>
              <w:textAlignment w:val="center"/>
              <w:rPr>
                <w:rFonts w:ascii="仿宋" w:hAnsi="仿宋" w:eastAsia="仿宋" w:cs="仿宋"/>
                <w:color w:val="000000"/>
                <w:sz w:val="24"/>
              </w:rPr>
            </w:pPr>
          </w:p>
        </w:tc>
        <w:tc>
          <w:tcPr>
            <w:tcW w:w="3075" w:type="dxa"/>
            <w:tcBorders>
              <w:top w:val="single" w:color="000000" w:sz="4" w:space="0"/>
              <w:left w:val="single" w:color="000000" w:sz="4" w:space="0"/>
              <w:bottom w:val="single" w:color="auto"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8、维修工作（社会面）有无投诉。</w:t>
            </w:r>
          </w:p>
        </w:tc>
        <w:tc>
          <w:tcPr>
            <w:tcW w:w="1071" w:type="dxa"/>
            <w:tcBorders>
              <w:top w:val="single" w:color="000000" w:sz="4" w:space="0"/>
              <w:left w:val="single" w:color="000000" w:sz="4" w:space="0"/>
              <w:bottom w:val="single" w:color="auto"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5分</w:t>
            </w:r>
          </w:p>
        </w:tc>
        <w:tc>
          <w:tcPr>
            <w:tcW w:w="3109" w:type="dxa"/>
            <w:tcBorders>
              <w:top w:val="single" w:color="000000" w:sz="4" w:space="0"/>
              <w:left w:val="single" w:color="000000" w:sz="4" w:space="0"/>
              <w:bottom w:val="single" w:color="auto"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投诉一次扣1分</w:t>
            </w:r>
          </w:p>
        </w:tc>
        <w:tc>
          <w:tcPr>
            <w:tcW w:w="984"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840" w:hRule="atLeast"/>
        </w:trPr>
        <w:tc>
          <w:tcPr>
            <w:tcW w:w="1401" w:type="dxa"/>
            <w:tcBorders>
              <w:top w:val="single" w:color="auto" w:sz="4" w:space="0"/>
              <w:left w:val="single" w:color="auto" w:sz="4" w:space="0"/>
              <w:bottom w:val="single" w:color="auto" w:sz="4" w:space="0"/>
              <w:right w:val="single" w:color="000000" w:sz="4" w:space="0"/>
            </w:tcBorders>
            <w:vAlign w:val="center"/>
          </w:tcPr>
          <w:p>
            <w:pPr>
              <w:jc w:val="center"/>
              <w:rPr>
                <w:rFonts w:ascii="仿宋" w:hAnsi="仿宋" w:eastAsia="仿宋" w:cs="仿宋"/>
                <w:color w:val="000000"/>
                <w:sz w:val="24"/>
              </w:rPr>
            </w:pPr>
            <w:r>
              <w:rPr>
                <w:rFonts w:hint="eastAsia" w:ascii="仿宋" w:hAnsi="仿宋" w:eastAsia="仿宋" w:cs="仿宋"/>
                <w:color w:val="000000"/>
                <w:sz w:val="24"/>
              </w:rPr>
              <w:t>五、使用科室专项10分</w:t>
            </w:r>
          </w:p>
        </w:tc>
        <w:tc>
          <w:tcPr>
            <w:tcW w:w="3075" w:type="dxa"/>
            <w:tcBorders>
              <w:top w:val="single" w:color="auto" w:sz="4" w:space="0"/>
              <w:left w:val="single" w:color="auto" w:sz="4" w:space="0"/>
              <w:bottom w:val="single" w:color="auto"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9、使用科室对维保是否工作满意。</w:t>
            </w:r>
          </w:p>
        </w:tc>
        <w:tc>
          <w:tcPr>
            <w:tcW w:w="1071" w:type="dxa"/>
            <w:tcBorders>
              <w:top w:val="single" w:color="auto" w:sz="4" w:space="0"/>
              <w:left w:val="single" w:color="000000" w:sz="4" w:space="0"/>
              <w:bottom w:val="single" w:color="auto"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auto" w:sz="4" w:space="0"/>
              <w:left w:val="single" w:color="000000" w:sz="4" w:space="0"/>
              <w:bottom w:val="single" w:color="auto" w:sz="4" w:space="0"/>
              <w:right w:val="single" w:color="auto"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非常满意：10分；基本满意：8分；一般满意：5分；不满意：0分</w:t>
            </w:r>
          </w:p>
        </w:tc>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840" w:hRule="atLeast"/>
        </w:trPr>
        <w:tc>
          <w:tcPr>
            <w:tcW w:w="1401" w:type="dxa"/>
            <w:tcBorders>
              <w:top w:val="single" w:color="auto"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4"/>
              </w:rPr>
            </w:pPr>
            <w:r>
              <w:rPr>
                <w:rFonts w:hint="eastAsia" w:ascii="仿宋" w:hAnsi="仿宋" w:eastAsia="仿宋" w:cs="仿宋"/>
                <w:color w:val="000000"/>
                <w:sz w:val="24"/>
              </w:rPr>
              <w:t>六、医学装备科专项10分</w:t>
            </w:r>
          </w:p>
        </w:tc>
        <w:tc>
          <w:tcPr>
            <w:tcW w:w="3075" w:type="dxa"/>
            <w:tcBorders>
              <w:top w:val="single" w:color="auto" w:sz="4" w:space="0"/>
              <w:left w:val="single" w:color="auto" w:sz="4" w:space="0"/>
              <w:bottom w:val="single" w:color="auto" w:sz="4" w:space="0"/>
              <w:right w:val="single" w:color="000000"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10、医学装备科对维保是否工作满意。</w:t>
            </w:r>
          </w:p>
        </w:tc>
        <w:tc>
          <w:tcPr>
            <w:tcW w:w="1071" w:type="dxa"/>
            <w:tcBorders>
              <w:top w:val="single" w:color="auto" w:sz="4" w:space="0"/>
              <w:left w:val="single" w:color="000000" w:sz="4" w:space="0"/>
              <w:bottom w:val="single" w:color="auto"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10分</w:t>
            </w:r>
          </w:p>
        </w:tc>
        <w:tc>
          <w:tcPr>
            <w:tcW w:w="3109" w:type="dxa"/>
            <w:tcBorders>
              <w:top w:val="single" w:color="auto" w:sz="4" w:space="0"/>
              <w:left w:val="single" w:color="000000" w:sz="4" w:space="0"/>
              <w:bottom w:val="single" w:color="auto" w:sz="4" w:space="0"/>
              <w:right w:val="single" w:color="auto" w:sz="4" w:space="0"/>
            </w:tcBorders>
            <w:vAlign w:val="center"/>
          </w:tcPr>
          <w:p>
            <w:pPr>
              <w:textAlignment w:val="center"/>
              <w:rPr>
                <w:rFonts w:ascii="仿宋" w:hAnsi="仿宋" w:eastAsia="仿宋" w:cs="仿宋"/>
                <w:color w:val="000000"/>
                <w:sz w:val="24"/>
              </w:rPr>
            </w:pPr>
            <w:r>
              <w:rPr>
                <w:rFonts w:hint="eastAsia" w:ascii="仿宋" w:hAnsi="仿宋" w:eastAsia="仿宋" w:cs="仿宋"/>
                <w:color w:val="000000"/>
                <w:sz w:val="24"/>
              </w:rPr>
              <w:t>非常满意：10分；基本满意：8分；一般满意：5分；不满意：0分</w:t>
            </w:r>
          </w:p>
        </w:tc>
        <w:tc>
          <w:tcPr>
            <w:tcW w:w="984" w:type="dxa"/>
            <w:tcBorders>
              <w:top w:val="single" w:color="auto" w:sz="4" w:space="0"/>
              <w:left w:val="single" w:color="auto"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CellMar>
            <w:top w:w="15" w:type="dxa"/>
            <w:left w:w="15" w:type="dxa"/>
            <w:bottom w:w="15" w:type="dxa"/>
            <w:right w:w="15" w:type="dxa"/>
          </w:tblCellMar>
        </w:tblPrEx>
        <w:trPr>
          <w:trHeight w:val="675" w:hRule="atLeast"/>
        </w:trPr>
        <w:tc>
          <w:tcPr>
            <w:tcW w:w="8656" w:type="dxa"/>
            <w:gridSpan w:val="4"/>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仿宋" w:hAnsi="仿宋" w:eastAsia="仿宋" w:cs="仿宋"/>
                <w:color w:val="000000"/>
                <w:sz w:val="24"/>
              </w:rPr>
            </w:pPr>
            <w:r>
              <w:rPr>
                <w:rFonts w:hint="eastAsia" w:ascii="仿宋" w:hAnsi="仿宋" w:eastAsia="仿宋" w:cs="仿宋"/>
                <w:color w:val="000000"/>
                <w:sz w:val="24"/>
              </w:rPr>
              <w:t>总得分</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bl>
    <w:p>
      <w:pPr>
        <w:pStyle w:val="2"/>
        <w:jc w:val="center"/>
        <w:rPr>
          <w:rFonts w:ascii="Times New Roman" w:hAnsi="Times New Roman" w:cs="Times New Roman"/>
          <w:b/>
          <w:bCs/>
          <w:sz w:val="24"/>
          <w:szCs w:val="24"/>
          <w:lang w:val="en-US" w:bidi="ar-SA"/>
        </w:rPr>
      </w:pPr>
      <w:r>
        <w:rPr>
          <w:rFonts w:hint="eastAsia" w:ascii="Times New Roman" w:hAnsi="Times New Roman" w:cs="Times New Roman"/>
          <w:b/>
          <w:bCs/>
          <w:sz w:val="24"/>
          <w:szCs w:val="24"/>
          <w:lang w:val="en-US" w:bidi="ar-SA"/>
        </w:rPr>
        <w:t>第二节 商务要求</w:t>
      </w:r>
    </w:p>
    <w:p>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1、通知中标后，中标方需在15日内检测、检修设备，更换老化配件和易耗品，未完成医院有权解除合同。</w:t>
      </w:r>
    </w:p>
    <w:p>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2、年度考核低于60分直接解除合同。</w:t>
      </w:r>
    </w:p>
    <w:p>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3、中标方因维保质量发生安全事故造成设备设施损坏，按照设备实价赔偿并解除合同。</w:t>
      </w:r>
    </w:p>
    <w:p>
      <w:pPr>
        <w:pStyle w:val="2"/>
        <w:rPr>
          <w:rFonts w:ascii="Times New Roman" w:hAnsi="Times New Roman" w:cs="Times New Roman"/>
          <w:sz w:val="24"/>
          <w:szCs w:val="24"/>
          <w:lang w:val="en-US" w:bidi="ar-SA"/>
        </w:rPr>
      </w:pPr>
      <w:r>
        <w:rPr>
          <w:rFonts w:hint="eastAsia" w:ascii="Times New Roman" w:hAnsi="Times New Roman" w:cs="Times New Roman"/>
          <w:sz w:val="24"/>
          <w:szCs w:val="24"/>
          <w:lang w:val="en-US" w:bidi="ar-SA"/>
        </w:rPr>
        <w:t>2、支付方式：按年度支付，每12个月汇总当年考核记录，根据考核办法核定当年维保费用并按医院财务程序支付。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490801CF"/>
    <w:rsid w:val="002E0B51"/>
    <w:rsid w:val="0045470E"/>
    <w:rsid w:val="004C7E5B"/>
    <w:rsid w:val="00B36D02"/>
    <w:rsid w:val="00E82619"/>
    <w:rsid w:val="00EE181B"/>
    <w:rsid w:val="019761A5"/>
    <w:rsid w:val="057E5221"/>
    <w:rsid w:val="07ED50F2"/>
    <w:rsid w:val="13115128"/>
    <w:rsid w:val="1AB339DA"/>
    <w:rsid w:val="24FB4266"/>
    <w:rsid w:val="2B60592A"/>
    <w:rsid w:val="351F3659"/>
    <w:rsid w:val="3A127F4A"/>
    <w:rsid w:val="3D7B7B26"/>
    <w:rsid w:val="3E181FDF"/>
    <w:rsid w:val="47E26E94"/>
    <w:rsid w:val="490801CF"/>
    <w:rsid w:val="49FB7789"/>
    <w:rsid w:val="52107AF5"/>
    <w:rsid w:val="55D403EC"/>
    <w:rsid w:val="5D3B3DEB"/>
    <w:rsid w:val="603D6CF8"/>
    <w:rsid w:val="630E0389"/>
    <w:rsid w:val="70BE5820"/>
    <w:rsid w:val="732B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autoRedefine/>
    <w:qFormat/>
    <w:uiPriority w:val="1"/>
    <w:rPr>
      <w:rFonts w:ascii="宋体" w:hAnsi="宋体" w:cs="宋体"/>
      <w:sz w:val="32"/>
      <w:szCs w:val="32"/>
      <w:lang w:val="zh-CN" w:bidi="zh-CN"/>
    </w:rPr>
  </w:style>
  <w:style w:type="paragraph" w:styleId="3">
    <w:name w:val="Body Text Indent"/>
    <w:basedOn w:val="1"/>
    <w:next w:val="4"/>
    <w:autoRedefine/>
    <w:qFormat/>
    <w:uiPriority w:val="0"/>
    <w:pPr>
      <w:spacing w:after="120"/>
      <w:ind w:left="420" w:leftChars="200"/>
    </w:pPr>
  </w:style>
  <w:style w:type="paragraph" w:styleId="4">
    <w:name w:val="envelope return"/>
    <w:basedOn w:val="1"/>
    <w:autoRedefine/>
    <w:qFormat/>
    <w:uiPriority w:val="0"/>
    <w:pPr>
      <w:snapToGrid w:val="0"/>
    </w:pPr>
    <w:rPr>
      <w:rFonts w:ascii="Arial" w:hAnsi="Arial"/>
    </w:rPr>
  </w:style>
  <w:style w:type="paragraph" w:styleId="5">
    <w:name w:val="Normal (Web)"/>
    <w:basedOn w:val="1"/>
    <w:autoRedefine/>
    <w:qFormat/>
    <w:uiPriority w:val="0"/>
    <w:pPr>
      <w:spacing w:beforeAutospacing="1" w:afterAutospacing="1"/>
      <w:jc w:val="left"/>
    </w:pPr>
    <w:rPr>
      <w:kern w:val="0"/>
      <w:sz w:val="24"/>
    </w:rPr>
  </w:style>
  <w:style w:type="paragraph" w:styleId="6">
    <w:name w:val="Body Text First Indent 2"/>
    <w:basedOn w:val="3"/>
    <w:autoRedefine/>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1599</Words>
  <Characters>1697</Characters>
  <Lines>13</Lines>
  <Paragraphs>3</Paragraphs>
  <TotalTime>17</TotalTime>
  <ScaleCrop>false</ScaleCrop>
  <LinksUpToDate>false</LinksUpToDate>
  <CharactersWithSpaces>1716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2024-05-23T03:13:00Z</dcterms:created>
  <dc:creator>侃</dc:creator>
  <cp:lastModifiedBy>高杨</cp:lastModifiedBy>
  <dcterms:modified xsi:type="dcterms:W3CDTF">2024-05-23T08:29:54Z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253D116B8D5D4D68A208EAD3EF1CD834_13</vt:lpwstr>
  </property>
</Properties>
</file>