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djustRightInd w:val="0"/>
        <w:snapToGrid w:val="0"/>
        <w:spacing w:after="0" w:line="360" w:lineRule="auto"/>
        <w:jc w:val="center"/>
        <w:rPr>
          <w:rFonts w:hint="default" w:ascii="宋体" w:hAnsi="宋体" w:eastAsia="宋体" w:cs="宋体"/>
          <w:b/>
          <w:sz w:val="28"/>
          <w:szCs w:val="28"/>
          <w:lang w:val="en-US" w:eastAsia="zh-CN"/>
        </w:rPr>
      </w:pPr>
      <w:r>
        <w:rPr>
          <w:rFonts w:hint="eastAsia" w:cs="宋体"/>
          <w:b/>
          <w:sz w:val="28"/>
          <w:szCs w:val="28"/>
          <w:lang w:val="en-US" w:eastAsia="zh-CN"/>
        </w:rPr>
        <w:t>第一节 采购要求</w:t>
      </w:r>
    </w:p>
    <w:p>
      <w:pPr>
        <w:pStyle w:val="3"/>
        <w:adjustRightInd w:val="0"/>
        <w:snapToGrid w:val="0"/>
        <w:spacing w:after="0" w:line="240" w:lineRule="auto"/>
        <w:jc w:val="left"/>
        <w:rPr>
          <w:rFonts w:hint="eastAsia" w:cs="宋体"/>
          <w:b w:val="0"/>
          <w:bCs/>
          <w:sz w:val="24"/>
          <w:szCs w:val="24"/>
          <w:lang w:val="en-US" w:eastAsia="zh-CN"/>
        </w:rPr>
      </w:pPr>
      <w:r>
        <w:rPr>
          <w:rFonts w:hint="eastAsia" w:cs="宋体"/>
          <w:b w:val="0"/>
          <w:bCs/>
          <w:sz w:val="24"/>
          <w:szCs w:val="24"/>
          <w:lang w:val="en-US" w:eastAsia="zh-CN"/>
        </w:rPr>
        <w:t>本项目采购服务内容为:肿瘤科飞利浦大孔径CT维保服务</w:t>
      </w:r>
    </w:p>
    <w:p>
      <w:pPr>
        <w:pStyle w:val="3"/>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s="宋体"/>
          <w:color w:val="000000"/>
          <w:sz w:val="24"/>
          <w:szCs w:val="24"/>
          <w:shd w:val="clear" w:color="auto" w:fill="FFFFFF"/>
          <w:lang w:eastAsia="zh-CN"/>
        </w:rPr>
      </w:pPr>
      <w:r>
        <w:rPr>
          <w:rFonts w:hint="eastAsia" w:ascii="宋体" w:hAnsi="宋体" w:eastAsia="宋体" w:cs="宋体"/>
          <w:sz w:val="24"/>
          <w:szCs w:val="24"/>
        </w:rPr>
        <w:t>维保服务类别：</w:t>
      </w:r>
      <w:r>
        <w:rPr>
          <w:rFonts w:hint="eastAsia" w:cs="宋体"/>
          <w:sz w:val="24"/>
          <w:szCs w:val="24"/>
          <w:lang w:val="en-US" w:eastAsia="zh-CN"/>
        </w:rPr>
        <w:t>金保</w:t>
      </w:r>
      <w:r>
        <w:rPr>
          <w:rFonts w:hint="eastAsia" w:ascii="宋体" w:hAnsi="宋体" w:eastAsia="宋体" w:cs="宋体"/>
          <w:color w:val="000000"/>
          <w:kern w:val="0"/>
          <w:sz w:val="24"/>
          <w:szCs w:val="24"/>
        </w:rPr>
        <w:t>（除球管，探测器等设备上所以备件的维修更换及人工费用包含工作站</w:t>
      </w:r>
      <w:r>
        <w:rPr>
          <w:rFonts w:hint="eastAsia"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lang w:val="en-US" w:eastAsia="zh-CN"/>
        </w:rPr>
        <w:t>及</w:t>
      </w:r>
      <w:r>
        <w:rPr>
          <w:rFonts w:hint="eastAsia" w:ascii="宋体" w:hAnsi="宋体" w:eastAsia="宋体" w:cs="宋体"/>
          <w:color w:val="000000"/>
          <w:sz w:val="24"/>
          <w:szCs w:val="24"/>
          <w:shd w:val="clear" w:color="auto" w:fill="FFFFFF"/>
        </w:rPr>
        <w:t>第三方设备）</w:t>
      </w:r>
    </w:p>
    <w:p>
      <w:pPr>
        <w:pStyle w:val="3"/>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宋体" w:hAnsi="宋体" w:eastAsia="宋体" w:cs="宋体"/>
          <w:bCs/>
          <w:sz w:val="24"/>
          <w:szCs w:val="24"/>
          <w:lang w:val="en-US" w:eastAsia="zh-CN"/>
        </w:rPr>
      </w:pPr>
      <w:r>
        <w:rPr>
          <w:rFonts w:hint="eastAsia" w:cs="宋体"/>
          <w:color w:val="000000"/>
          <w:sz w:val="24"/>
          <w:szCs w:val="24"/>
          <w:shd w:val="clear" w:color="auto" w:fill="FFFFFF"/>
          <w:lang w:val="en-US" w:eastAsia="zh-CN"/>
        </w:rPr>
        <w:t>服务期：3年</w:t>
      </w:r>
    </w:p>
    <w:p>
      <w:pPr>
        <w:pStyle w:val="3"/>
        <w:adjustRightInd w:val="0"/>
        <w:snapToGrid w:val="0"/>
        <w:spacing w:after="0" w:line="240" w:lineRule="auto"/>
        <w:jc w:val="left"/>
        <w:rPr>
          <w:rFonts w:hint="default" w:cs="宋体"/>
          <w:b/>
          <w:sz w:val="24"/>
          <w:szCs w:val="24"/>
          <w:lang w:val="en-US" w:eastAsia="zh-CN"/>
        </w:rPr>
      </w:pPr>
    </w:p>
    <w:p>
      <w:pPr>
        <w:pStyle w:val="3"/>
        <w:adjustRightInd w:val="0"/>
        <w:snapToGrid w:val="0"/>
        <w:spacing w:after="0" w:line="240" w:lineRule="auto"/>
        <w:jc w:val="left"/>
        <w:rPr>
          <w:rFonts w:hint="eastAsia" w:ascii="宋体" w:hAnsi="宋体" w:eastAsia="宋体" w:cs="宋体"/>
          <w:b w:val="0"/>
          <w:bCs/>
          <w:sz w:val="24"/>
          <w:szCs w:val="24"/>
        </w:rPr>
      </w:pPr>
      <w:r>
        <w:rPr>
          <w:rFonts w:hint="eastAsia" w:ascii="宋体" w:hAnsi="宋体" w:eastAsia="宋体" w:cs="宋体"/>
          <w:b w:val="0"/>
          <w:bCs/>
          <w:sz w:val="24"/>
          <w:szCs w:val="24"/>
        </w:rPr>
        <w:t>一、维保服务内容</w:t>
      </w:r>
    </w:p>
    <w:p>
      <w:pPr>
        <w:pStyle w:val="3"/>
        <w:keepNext w:val="0"/>
        <w:keepLines w:val="0"/>
        <w:pageBreakBefore w:val="0"/>
        <w:widowControl w:val="0"/>
        <w:numPr>
          <w:ilvl w:val="0"/>
          <w:numId w:val="1"/>
        </w:numPr>
        <w:kinsoku/>
        <w:wordWrap/>
        <w:overflowPunct/>
        <w:topLinePunct w:val="0"/>
        <w:autoSpaceDE/>
        <w:autoSpaceDN/>
        <w:bidi w:val="0"/>
        <w:adjustRightInd w:val="0"/>
        <w:snapToGrid w:val="0"/>
        <w:spacing w:line="240" w:lineRule="auto"/>
        <w:ind w:left="425" w:leftChars="0" w:hanging="425" w:firstLineChars="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维保设备</w:t>
      </w:r>
      <w:r>
        <w:rPr>
          <w:rFonts w:hint="eastAsia" w:asciiTheme="minorEastAsia" w:hAnsiTheme="minorEastAsia" w:eastAsiaTheme="minorEastAsia" w:cstheme="minorEastAsia"/>
          <w:sz w:val="24"/>
          <w:szCs w:val="24"/>
          <w:lang w:val="en-US" w:eastAsia="zh-CN"/>
        </w:rPr>
        <w:t>规格型号</w:t>
      </w:r>
      <w:r>
        <w:rPr>
          <w:rFonts w:hint="eastAsia" w:asciiTheme="minorEastAsia" w:hAnsiTheme="minorEastAsia" w:eastAsiaTheme="minorEastAsia" w:cstheme="minorEastAsia"/>
          <w:sz w:val="24"/>
          <w:szCs w:val="24"/>
        </w:rPr>
        <w:t>：Brilliance CT Big Bore</w:t>
      </w:r>
    </w:p>
    <w:p>
      <w:pPr>
        <w:pStyle w:val="3"/>
        <w:keepNext w:val="0"/>
        <w:keepLines w:val="0"/>
        <w:pageBreakBefore w:val="0"/>
        <w:widowControl w:val="0"/>
        <w:numPr>
          <w:ilvl w:val="0"/>
          <w:numId w:val="1"/>
        </w:numPr>
        <w:kinsoku/>
        <w:wordWrap/>
        <w:overflowPunct/>
        <w:topLinePunct w:val="0"/>
        <w:autoSpaceDE/>
        <w:autoSpaceDN/>
        <w:bidi w:val="0"/>
        <w:adjustRightInd w:val="0"/>
        <w:snapToGrid w:val="0"/>
        <w:spacing w:line="240" w:lineRule="auto"/>
        <w:ind w:left="425" w:leftChars="0" w:hanging="425" w:firstLineChars="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数量：</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台</w:t>
      </w:r>
    </w:p>
    <w:p>
      <w:pPr>
        <w:keepNext w:val="0"/>
        <w:keepLines w:val="0"/>
        <w:pageBreakBefore w:val="0"/>
        <w:widowControl w:val="0"/>
        <w:numPr>
          <w:ilvl w:val="0"/>
          <w:numId w:val="1"/>
        </w:numPr>
        <w:kinsoku/>
        <w:wordWrap/>
        <w:overflowPunct/>
        <w:topLinePunct w:val="0"/>
        <w:autoSpaceDE/>
        <w:autoSpaceDN/>
        <w:bidi w:val="0"/>
        <w:spacing w:line="240" w:lineRule="auto"/>
        <w:ind w:left="425" w:leftChars="0" w:hanging="425" w:firstLineChars="0"/>
        <w:jc w:val="left"/>
        <w:textAlignment w:val="auto"/>
        <w:rPr>
          <w:rFonts w:hint="eastAsia" w:cs="宋体"/>
          <w:sz w:val="24"/>
          <w:szCs w:val="24"/>
          <w:lang w:val="en-US" w:eastAsia="zh-CN"/>
        </w:rPr>
      </w:pPr>
      <w:r>
        <w:rPr>
          <w:rFonts w:hint="eastAsia" w:asciiTheme="minorEastAsia" w:hAnsiTheme="minorEastAsia" w:eastAsiaTheme="minorEastAsia" w:cstheme="minorEastAsia"/>
          <w:sz w:val="24"/>
          <w:szCs w:val="24"/>
        </w:rPr>
        <w:t>服务范围：Brilliance CT Big Bore</w:t>
      </w:r>
      <w:r>
        <w:rPr>
          <w:rFonts w:hint="eastAsia" w:asciiTheme="minorEastAsia" w:hAnsiTheme="minorEastAsia" w:eastAsiaTheme="minorEastAsia" w:cstheme="minorEastAsia"/>
          <w:sz w:val="24"/>
          <w:szCs w:val="24"/>
          <w:lang w:val="en-US" w:eastAsia="zh-CN"/>
        </w:rPr>
        <w:t>整机（除</w:t>
      </w:r>
      <w:r>
        <w:rPr>
          <w:rFonts w:hint="eastAsia" w:asciiTheme="minorEastAsia" w:hAnsiTheme="minorEastAsia" w:eastAsiaTheme="minorEastAsia" w:cstheme="minorEastAsia"/>
          <w:spacing w:val="-2"/>
          <w:sz w:val="24"/>
          <w:szCs w:val="24"/>
          <w:lang w:val="en-AU"/>
        </w:rPr>
        <w:t>X光球管，探测器</w:t>
      </w:r>
      <w:r>
        <w:rPr>
          <w:rFonts w:hint="eastAsia" w:asciiTheme="minorEastAsia" w:hAnsiTheme="minorEastAsia" w:eastAsiaTheme="minorEastAsia" w:cstheme="minorEastAsia"/>
          <w:spacing w:val="-2"/>
          <w:sz w:val="24"/>
          <w:szCs w:val="24"/>
          <w:lang w:val="en-US" w:eastAsia="zh-CN"/>
        </w:rPr>
        <w:t>、工作站及第三方设备）</w:t>
      </w:r>
    </w:p>
    <w:p>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二、</w:t>
      </w:r>
      <w:r>
        <w:rPr>
          <w:rFonts w:hint="eastAsia" w:ascii="宋体" w:hAnsi="宋体" w:eastAsia="宋体" w:cs="宋体"/>
          <w:b w:val="0"/>
          <w:bCs w:val="0"/>
          <w:sz w:val="24"/>
          <w:szCs w:val="24"/>
          <w:lang w:val="en-US" w:eastAsia="zh-CN"/>
        </w:rPr>
        <w:t>服务要求</w:t>
      </w:r>
    </w:p>
    <w:p>
      <w:pPr>
        <w:keepNext w:val="0"/>
        <w:keepLines w:val="0"/>
        <w:pageBreakBefore w:val="0"/>
        <w:widowControl w:val="0"/>
        <w:numPr>
          <w:ilvl w:val="0"/>
          <w:numId w:val="2"/>
        </w:numPr>
        <w:kinsoku/>
        <w:wordWrap/>
        <w:overflowPunct/>
        <w:topLinePunct w:val="0"/>
        <w:autoSpaceDE/>
        <w:autoSpaceDN/>
        <w:bidi w:val="0"/>
        <w:spacing w:line="240" w:lineRule="auto"/>
        <w:ind w:left="425" w:leftChars="0" w:hanging="425" w:firstLineChars="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提供Brilliance CT Big Bore</w:t>
      </w:r>
      <w:r>
        <w:rPr>
          <w:rFonts w:hint="eastAsia" w:asciiTheme="minorEastAsia" w:hAnsiTheme="minorEastAsia" w:eastAsiaTheme="minorEastAsia" w:cstheme="minorEastAsia"/>
          <w:sz w:val="24"/>
          <w:szCs w:val="24"/>
          <w:lang w:val="en-US" w:eastAsia="zh-CN"/>
        </w:rPr>
        <w:t>整机维保服务</w:t>
      </w:r>
      <w:r>
        <w:rPr>
          <w:rFonts w:hint="eastAsia" w:asciiTheme="minorEastAsia" w:hAnsiTheme="minorEastAsia" w:eastAsiaTheme="minorEastAsia" w:cstheme="minorEastAsia"/>
          <w:sz w:val="24"/>
          <w:szCs w:val="24"/>
        </w:rPr>
        <w:t>（除球管，探测器等设备上所</w:t>
      </w:r>
      <w:r>
        <w:rPr>
          <w:rFonts w:hint="eastAsia" w:asciiTheme="minorEastAsia" w:hAnsiTheme="minorEastAsia" w:eastAsiaTheme="minorEastAsia" w:cstheme="minorEastAsia"/>
          <w:sz w:val="24"/>
          <w:szCs w:val="24"/>
          <w:lang w:val="en-US" w:eastAsia="zh-CN"/>
        </w:rPr>
        <w:t>有</w:t>
      </w:r>
      <w:r>
        <w:rPr>
          <w:rFonts w:hint="eastAsia" w:asciiTheme="minorEastAsia" w:hAnsiTheme="minorEastAsia" w:eastAsiaTheme="minorEastAsia" w:cstheme="minorEastAsia"/>
          <w:sz w:val="24"/>
          <w:szCs w:val="24"/>
        </w:rPr>
        <w:t>备件的维修更换及人工费用包含工作站，</w:t>
      </w:r>
      <w:r>
        <w:rPr>
          <w:rFonts w:hint="eastAsia" w:asciiTheme="minorEastAsia" w:hAnsiTheme="minorEastAsia" w:eastAsiaTheme="minorEastAsia" w:cstheme="minorEastAsia"/>
          <w:sz w:val="24"/>
          <w:szCs w:val="24"/>
          <w:lang w:val="en-US" w:eastAsia="zh-CN"/>
        </w:rPr>
        <w:t>及</w:t>
      </w:r>
      <w:r>
        <w:rPr>
          <w:rFonts w:hint="eastAsia" w:asciiTheme="minorEastAsia" w:hAnsiTheme="minorEastAsia" w:eastAsiaTheme="minorEastAsia" w:cstheme="minorEastAsia"/>
          <w:sz w:val="24"/>
          <w:szCs w:val="24"/>
        </w:rPr>
        <w:t>第三方设备）</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numPr>
          <w:ilvl w:val="0"/>
          <w:numId w:val="2"/>
        </w:numPr>
        <w:kinsoku/>
        <w:wordWrap/>
        <w:overflowPunct/>
        <w:topLinePunct w:val="0"/>
        <w:autoSpaceDE/>
        <w:autoSpaceDN/>
        <w:bidi w:val="0"/>
        <w:spacing w:line="240" w:lineRule="auto"/>
        <w:ind w:left="425" w:leftChars="0" w:hanging="425" w:firstLineChars="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提供24小时800或400免费服务热线</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报修电话响应时间≤2小时，现场维修响应时间≤12小时，能提供远程诊断服务</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numPr>
          <w:ilvl w:val="0"/>
          <w:numId w:val="2"/>
        </w:numPr>
        <w:kinsoku/>
        <w:wordWrap/>
        <w:overflowPunct/>
        <w:topLinePunct w:val="0"/>
        <w:autoSpaceDE/>
        <w:autoSpaceDN/>
        <w:bidi w:val="0"/>
        <w:spacing w:line="240" w:lineRule="auto"/>
        <w:ind w:left="425" w:leftChars="0" w:hanging="425" w:firstLineChars="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在服务期内按照每年提供不少于2次的厂家标准规定的保养</w:t>
      </w:r>
      <w:r>
        <w:rPr>
          <w:rFonts w:hint="eastAsia" w:asciiTheme="minorEastAsia" w:hAnsiTheme="minorEastAsia" w:eastAsiaTheme="minorEastAsia" w:cstheme="minorEastAsia"/>
          <w:sz w:val="24"/>
          <w:szCs w:val="24"/>
          <w:lang w:val="en-US" w:eastAsia="zh-CN"/>
        </w:rPr>
        <w:t>及质控</w:t>
      </w:r>
      <w:r>
        <w:rPr>
          <w:rFonts w:hint="eastAsia" w:asciiTheme="minorEastAsia" w:hAnsiTheme="minorEastAsia" w:eastAsiaTheme="minorEastAsia" w:cstheme="minorEastAsia"/>
          <w:sz w:val="24"/>
          <w:szCs w:val="24"/>
        </w:rPr>
        <w:t>，并出具厂家的保养</w:t>
      </w:r>
      <w:r>
        <w:rPr>
          <w:rFonts w:hint="eastAsia" w:asciiTheme="minorEastAsia" w:hAnsiTheme="minorEastAsia" w:eastAsiaTheme="minorEastAsia" w:cstheme="minorEastAsia"/>
          <w:sz w:val="24"/>
          <w:szCs w:val="24"/>
          <w:lang w:val="en-US" w:eastAsia="zh-CN"/>
        </w:rPr>
        <w:t>质控</w:t>
      </w:r>
      <w:r>
        <w:rPr>
          <w:rFonts w:hint="eastAsia" w:asciiTheme="minorEastAsia" w:hAnsiTheme="minorEastAsia" w:eastAsiaTheme="minorEastAsia" w:cstheme="minorEastAsia"/>
          <w:sz w:val="24"/>
          <w:szCs w:val="24"/>
        </w:rPr>
        <w:t>报告；</w:t>
      </w:r>
    </w:p>
    <w:p>
      <w:pPr>
        <w:keepNext w:val="0"/>
        <w:keepLines w:val="0"/>
        <w:pageBreakBefore w:val="0"/>
        <w:widowControl w:val="0"/>
        <w:numPr>
          <w:ilvl w:val="0"/>
          <w:numId w:val="2"/>
        </w:numPr>
        <w:kinsoku/>
        <w:wordWrap/>
        <w:overflowPunct/>
        <w:topLinePunct w:val="0"/>
        <w:autoSpaceDE/>
        <w:autoSpaceDN/>
        <w:bidi w:val="0"/>
        <w:spacing w:line="240" w:lineRule="auto"/>
        <w:ind w:left="425" w:leftChars="0" w:hanging="425" w:firstLineChars="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零备件质量保证：投标公司在国内设有专业、充足的备件保税仓库。所有零备件均为经原厂检测合格的全新备件，提供球管提供报关单出厂证明购买发票或购买协议,探测器报关备件证书购买发票或购买协议，确保备件来源可追溯性（厂家提供营业执照，代理商提供厂家售后服务授权即可）；</w:t>
      </w:r>
    </w:p>
    <w:p>
      <w:pPr>
        <w:keepNext w:val="0"/>
        <w:keepLines w:val="0"/>
        <w:pageBreakBefore w:val="0"/>
        <w:widowControl w:val="0"/>
        <w:numPr>
          <w:ilvl w:val="0"/>
          <w:numId w:val="2"/>
        </w:numPr>
        <w:kinsoku/>
        <w:wordWrap/>
        <w:overflowPunct/>
        <w:topLinePunct w:val="0"/>
        <w:autoSpaceDE/>
        <w:autoSpaceDN/>
        <w:bidi w:val="0"/>
        <w:spacing w:line="240" w:lineRule="auto"/>
        <w:ind w:left="425" w:leftChars="0" w:hanging="425" w:firstLineChars="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免费提供远程诊断功能，具有可视化的远程诊断、操作，可提前预判设备安全及故障隐患；</w:t>
      </w:r>
    </w:p>
    <w:p>
      <w:pPr>
        <w:keepNext w:val="0"/>
        <w:keepLines w:val="0"/>
        <w:pageBreakBefore w:val="0"/>
        <w:widowControl w:val="0"/>
        <w:numPr>
          <w:ilvl w:val="0"/>
          <w:numId w:val="2"/>
        </w:numPr>
        <w:kinsoku/>
        <w:wordWrap/>
        <w:overflowPunct/>
        <w:topLinePunct w:val="0"/>
        <w:autoSpaceDE/>
        <w:autoSpaceDN/>
        <w:bidi w:val="0"/>
        <w:spacing w:line="240" w:lineRule="auto"/>
        <w:ind w:left="425" w:leftChars="0" w:hanging="425" w:firstLineChars="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免费提供设备的系统软件及硬件的安全性改版升级和技术支持，保证所有（非新增功能软件）为最新版本，并提供厂家此类改版升级和技术支持的证明文件</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升级授权协议或购买合同,确保知识产权合法性</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numPr>
          <w:ilvl w:val="0"/>
          <w:numId w:val="2"/>
        </w:numPr>
        <w:kinsoku/>
        <w:wordWrap/>
        <w:overflowPunct/>
        <w:topLinePunct w:val="0"/>
        <w:autoSpaceDE/>
        <w:autoSpaceDN/>
        <w:bidi w:val="0"/>
        <w:spacing w:line="240" w:lineRule="auto"/>
        <w:ind w:left="425" w:leftChars="0" w:hanging="425" w:firstLineChars="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工程师要求：投标公司在安徽省内有专业工程师，并经过该品牌型号设备原厂专业维修能力培训，维修培训证书需带二维</w:t>
      </w:r>
      <w:r>
        <w:rPr>
          <w:rFonts w:hint="eastAsia" w:asciiTheme="minorEastAsia" w:hAnsiTheme="minorEastAsia" w:eastAsiaTheme="minorEastAsia" w:cstheme="minorEastAsia"/>
          <w:sz w:val="24"/>
          <w:szCs w:val="24"/>
          <w:lang w:val="en-US" w:eastAsia="zh-CN"/>
        </w:rPr>
        <w:t>码</w:t>
      </w:r>
      <w:r>
        <w:rPr>
          <w:rFonts w:hint="eastAsia" w:asciiTheme="minorEastAsia" w:hAnsiTheme="minorEastAsia" w:eastAsiaTheme="minorEastAsia" w:cstheme="minorEastAsia"/>
          <w:sz w:val="24"/>
          <w:szCs w:val="24"/>
        </w:rPr>
        <w:t>和加盖原厂公章和投标公司公章可现场辨别证书合格真实有效，工程师为投标公司的正式员工</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numPr>
          <w:ilvl w:val="0"/>
          <w:numId w:val="2"/>
        </w:numPr>
        <w:kinsoku/>
        <w:wordWrap/>
        <w:overflowPunct/>
        <w:topLinePunct w:val="0"/>
        <w:autoSpaceDE/>
        <w:autoSpaceDN/>
        <w:bidi w:val="0"/>
        <w:spacing w:line="240" w:lineRule="auto"/>
        <w:ind w:left="425" w:leftChars="0" w:hanging="425" w:firstLineChars="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确保设备开机率达95％以上（按照全年365天计）</w:t>
      </w:r>
      <w:r>
        <w:rPr>
          <w:rFonts w:hint="eastAsia" w:asciiTheme="minorEastAsia" w:hAnsiTheme="minorEastAsia" w:eastAsiaTheme="minorEastAsia" w:cstheme="minorEastAsia"/>
          <w:sz w:val="24"/>
          <w:szCs w:val="24"/>
          <w:lang w:val="en-US" w:eastAsia="zh-CN"/>
        </w:rPr>
        <w:t>；</w:t>
      </w:r>
    </w:p>
    <w:p>
      <w:pPr>
        <w:keepNext w:val="0"/>
        <w:keepLines w:val="0"/>
        <w:pageBreakBefore w:val="0"/>
        <w:widowControl w:val="0"/>
        <w:numPr>
          <w:ilvl w:val="0"/>
          <w:numId w:val="2"/>
        </w:numPr>
        <w:kinsoku/>
        <w:wordWrap/>
        <w:overflowPunct/>
        <w:topLinePunct w:val="0"/>
        <w:autoSpaceDE/>
        <w:autoSpaceDN/>
        <w:bidi w:val="0"/>
        <w:spacing w:line="240" w:lineRule="auto"/>
        <w:ind w:left="425" w:leftChars="0" w:hanging="425" w:firstLineChars="0"/>
        <w:jc w:val="left"/>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每次考核70分为合格（含70分），低于70分，每下降一分下年度维保费下降1%，依次类推。（考核标准由医院制定，）</w:t>
      </w:r>
    </w:p>
    <w:p>
      <w:pPr>
        <w:pStyle w:val="3"/>
        <w:rPr>
          <w:rFonts w:hint="eastAsia"/>
          <w:lang w:eastAsia="zh-CN"/>
        </w:rPr>
      </w:pPr>
    </w:p>
    <w:p>
      <w:pPr>
        <w:pStyle w:val="3"/>
        <w:rPr>
          <w:rFonts w:hint="eastAsia"/>
          <w:lang w:eastAsia="zh-CN"/>
        </w:rPr>
      </w:pPr>
    </w:p>
    <w:p>
      <w:pPr>
        <w:pStyle w:val="3"/>
        <w:rPr>
          <w:rFonts w:hint="eastAsia"/>
          <w:lang w:eastAsia="zh-CN"/>
        </w:rPr>
      </w:pPr>
    </w:p>
    <w:p>
      <w:pPr>
        <w:pStyle w:val="3"/>
        <w:rPr>
          <w:rFonts w:hint="eastAsia"/>
          <w:lang w:eastAsia="zh-CN"/>
        </w:rPr>
      </w:pPr>
    </w:p>
    <w:p>
      <w:pPr>
        <w:pStyle w:val="3"/>
        <w:rPr>
          <w:rFonts w:hint="eastAsia"/>
          <w:lang w:eastAsia="zh-CN"/>
        </w:rPr>
      </w:pPr>
    </w:p>
    <w:tbl>
      <w:tblPr>
        <w:tblStyle w:val="8"/>
        <w:tblW w:w="9800" w:type="dxa"/>
        <w:tblInd w:w="-552" w:type="dxa"/>
        <w:tblLayout w:type="fixed"/>
        <w:tblCellMar>
          <w:top w:w="15" w:type="dxa"/>
          <w:left w:w="15" w:type="dxa"/>
          <w:bottom w:w="15" w:type="dxa"/>
          <w:right w:w="15" w:type="dxa"/>
        </w:tblCellMar>
      </w:tblPr>
      <w:tblGrid>
        <w:gridCol w:w="1423"/>
        <w:gridCol w:w="3126"/>
        <w:gridCol w:w="1213"/>
        <w:gridCol w:w="2483"/>
        <w:gridCol w:w="1555"/>
      </w:tblGrid>
      <w:tr>
        <w:tblPrEx>
          <w:tblCellMar>
            <w:top w:w="15" w:type="dxa"/>
            <w:left w:w="15" w:type="dxa"/>
            <w:bottom w:w="15" w:type="dxa"/>
            <w:right w:w="15" w:type="dxa"/>
          </w:tblCellMar>
        </w:tblPrEx>
        <w:trPr>
          <w:trHeight w:val="794" w:hRule="atLeast"/>
        </w:trPr>
        <w:tc>
          <w:tcPr>
            <w:tcW w:w="9800" w:type="dxa"/>
            <w:gridSpan w:val="5"/>
            <w:noWrap w:val="0"/>
            <w:vAlign w:val="center"/>
          </w:tcPr>
          <w:p>
            <w:pPr>
              <w:jc w:val="center"/>
              <w:textAlignment w:val="center"/>
              <w:rPr>
                <w:rFonts w:ascii="仿宋" w:hAnsi="仿宋" w:eastAsia="仿宋" w:cs="仿宋"/>
                <w:color w:val="000000"/>
                <w:sz w:val="32"/>
                <w:szCs w:val="32"/>
              </w:rPr>
            </w:pPr>
            <w:r>
              <w:rPr>
                <w:rFonts w:hint="eastAsia" w:ascii="仿宋" w:hAnsi="仿宋" w:eastAsia="仿宋" w:cs="仿宋"/>
                <w:color w:val="000000"/>
                <w:sz w:val="32"/>
                <w:szCs w:val="32"/>
              </w:rPr>
              <w:t>市人</w:t>
            </w:r>
            <w:r>
              <w:rPr>
                <w:rFonts w:hint="eastAsia" w:ascii="仿宋" w:hAnsi="仿宋" w:eastAsia="仿宋" w:cs="仿宋"/>
                <w:color w:val="000000"/>
                <w:sz w:val="32"/>
                <w:szCs w:val="32"/>
                <w:lang w:val="en-US" w:eastAsia="zh-CN"/>
              </w:rPr>
              <w:t>民</w:t>
            </w:r>
            <w:r>
              <w:rPr>
                <w:rFonts w:hint="eastAsia" w:ascii="仿宋" w:hAnsi="仿宋" w:eastAsia="仿宋" w:cs="仿宋"/>
                <w:color w:val="000000"/>
                <w:sz w:val="32"/>
                <w:szCs w:val="32"/>
              </w:rPr>
              <w:t>医院</w:t>
            </w:r>
            <w:r>
              <w:rPr>
                <w:rFonts w:hint="eastAsia" w:ascii="仿宋" w:hAnsi="仿宋" w:eastAsia="仿宋" w:cs="仿宋"/>
                <w:color w:val="000000"/>
                <w:sz w:val="32"/>
                <w:szCs w:val="32"/>
                <w:lang w:val="en-US" w:eastAsia="zh-CN"/>
              </w:rPr>
              <w:t>飞利浦大孔径CT</w:t>
            </w:r>
            <w:r>
              <w:rPr>
                <w:rFonts w:hint="eastAsia" w:ascii="仿宋" w:hAnsi="仿宋" w:eastAsia="仿宋" w:cs="仿宋"/>
                <w:color w:val="000000"/>
                <w:sz w:val="32"/>
                <w:szCs w:val="32"/>
              </w:rPr>
              <w:t>维保考评表</w:t>
            </w:r>
          </w:p>
        </w:tc>
      </w:tr>
      <w:tr>
        <w:tblPrEx>
          <w:tblCellMar>
            <w:top w:w="15" w:type="dxa"/>
            <w:left w:w="15" w:type="dxa"/>
            <w:bottom w:w="15" w:type="dxa"/>
            <w:right w:w="15" w:type="dxa"/>
          </w:tblCellMar>
        </w:tblPrEx>
        <w:trPr>
          <w:trHeight w:val="794" w:hRule="atLeast"/>
        </w:trPr>
        <w:tc>
          <w:tcPr>
            <w:tcW w:w="4549" w:type="dxa"/>
            <w:gridSpan w:val="2"/>
            <w:noWrap w:val="0"/>
            <w:vAlign w:val="center"/>
          </w:tcPr>
          <w:p>
            <w:pPr>
              <w:rPr>
                <w:rFonts w:ascii="宋体" w:hAnsi="宋体" w:cs="宋体"/>
                <w:color w:val="000000"/>
                <w:sz w:val="24"/>
              </w:rPr>
            </w:pPr>
            <w:r>
              <w:rPr>
                <w:rFonts w:hint="eastAsia" w:ascii="仿宋" w:hAnsi="仿宋" w:eastAsia="仿宋" w:cs="仿宋"/>
                <w:color w:val="000000"/>
                <w:sz w:val="32"/>
                <w:szCs w:val="32"/>
              </w:rPr>
              <w:t>考评科室：</w:t>
            </w:r>
          </w:p>
        </w:tc>
        <w:tc>
          <w:tcPr>
            <w:tcW w:w="1213" w:type="dxa"/>
            <w:noWrap w:val="0"/>
            <w:vAlign w:val="center"/>
          </w:tcPr>
          <w:p>
            <w:pPr>
              <w:jc w:val="center"/>
              <w:rPr>
                <w:rFonts w:ascii="宋体" w:hAnsi="宋体" w:cs="宋体"/>
                <w:color w:val="000000"/>
                <w:sz w:val="24"/>
              </w:rPr>
            </w:pPr>
          </w:p>
        </w:tc>
        <w:tc>
          <w:tcPr>
            <w:tcW w:w="2483" w:type="dxa"/>
            <w:noWrap w:val="0"/>
            <w:vAlign w:val="center"/>
          </w:tcPr>
          <w:p>
            <w:pPr>
              <w:jc w:val="center"/>
              <w:textAlignment w:val="center"/>
              <w:rPr>
                <w:rFonts w:ascii="宋体" w:hAnsi="宋体" w:cs="宋体"/>
                <w:color w:val="000000"/>
                <w:sz w:val="24"/>
              </w:rPr>
            </w:pPr>
            <w:r>
              <w:rPr>
                <w:rFonts w:hint="eastAsia" w:ascii="宋体" w:hAnsi="宋体" w:cs="宋体"/>
                <w:color w:val="000000"/>
                <w:sz w:val="24"/>
              </w:rPr>
              <w:t xml:space="preserve">   </w:t>
            </w:r>
            <w:r>
              <w:rPr>
                <w:rFonts w:hint="eastAsia" w:ascii="宋体" w:hAnsi="宋体" w:cs="宋体"/>
                <w:color w:val="000000"/>
                <w:sz w:val="24"/>
                <w:lang w:val="en-US" w:eastAsia="zh-CN"/>
              </w:rPr>
              <w:t xml:space="preserve">      </w:t>
            </w:r>
            <w:r>
              <w:rPr>
                <w:rFonts w:hint="eastAsia" w:ascii="宋体" w:hAnsi="宋体" w:cs="宋体"/>
                <w:color w:val="000000"/>
                <w:sz w:val="24"/>
              </w:rPr>
              <w:t xml:space="preserve">   </w:t>
            </w:r>
            <w:r>
              <w:rPr>
                <w:rFonts w:hint="eastAsia" w:ascii="仿宋" w:hAnsi="仿宋" w:eastAsia="仿宋" w:cs="仿宋"/>
                <w:color w:val="000000"/>
                <w:sz w:val="32"/>
                <w:szCs w:val="32"/>
              </w:rPr>
              <w:t xml:space="preserve">年    </w:t>
            </w:r>
          </w:p>
        </w:tc>
        <w:tc>
          <w:tcPr>
            <w:tcW w:w="1555" w:type="dxa"/>
            <w:noWrap w:val="0"/>
            <w:vAlign w:val="center"/>
          </w:tcPr>
          <w:p>
            <w:pPr>
              <w:jc w:val="center"/>
              <w:rPr>
                <w:rFonts w:ascii="宋体" w:hAnsi="宋体" w:cs="宋体"/>
                <w:color w:val="000000"/>
                <w:sz w:val="24"/>
              </w:rPr>
            </w:pPr>
          </w:p>
        </w:tc>
      </w:tr>
      <w:tr>
        <w:tblPrEx>
          <w:tblCellMar>
            <w:top w:w="15" w:type="dxa"/>
            <w:left w:w="15" w:type="dxa"/>
            <w:bottom w:w="15" w:type="dxa"/>
            <w:right w:w="15" w:type="dxa"/>
          </w:tblCellMar>
        </w:tblPrEx>
        <w:trPr>
          <w:trHeight w:val="922" w:hRule="atLeast"/>
        </w:trPr>
        <w:tc>
          <w:tcPr>
            <w:tcW w:w="1423"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顺序</w:t>
            </w:r>
          </w:p>
        </w:tc>
        <w:tc>
          <w:tcPr>
            <w:tcW w:w="3126"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标准内容</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标准分值</w:t>
            </w:r>
          </w:p>
        </w:tc>
        <w:tc>
          <w:tcPr>
            <w:tcW w:w="2483"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评分方法</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得分</w:t>
            </w:r>
          </w:p>
        </w:tc>
      </w:tr>
      <w:tr>
        <w:tblPrEx>
          <w:tblCellMar>
            <w:top w:w="15" w:type="dxa"/>
            <w:left w:w="15" w:type="dxa"/>
            <w:bottom w:w="15" w:type="dxa"/>
            <w:right w:w="15" w:type="dxa"/>
          </w:tblCellMar>
        </w:tblPrEx>
        <w:trPr>
          <w:trHeight w:val="2603" w:hRule="atLeast"/>
        </w:trPr>
        <w:tc>
          <w:tcPr>
            <w:tcW w:w="1423" w:type="dxa"/>
            <w:tcBorders>
              <w:top w:val="single" w:color="000000" w:sz="4" w:space="0"/>
              <w:left w:val="single" w:color="000000" w:sz="4" w:space="0"/>
              <w:right w:val="single" w:color="000000" w:sz="4" w:space="0"/>
            </w:tcBorders>
            <w:noWrap w:val="0"/>
            <w:vAlign w:val="center"/>
          </w:tcPr>
          <w:p>
            <w:pPr>
              <w:rPr>
                <w:rFonts w:hint="default" w:ascii="仿宋" w:hAnsi="仿宋" w:eastAsia="仿宋" w:cs="仿宋"/>
                <w:color w:val="000000"/>
                <w:sz w:val="24"/>
                <w:lang w:val="en-US" w:eastAsia="zh-CN"/>
              </w:rPr>
            </w:pPr>
            <w:r>
              <w:rPr>
                <w:rFonts w:hint="eastAsia" w:ascii="仿宋" w:hAnsi="仿宋" w:eastAsia="仿宋" w:cs="仿宋"/>
                <w:color w:val="000000"/>
                <w:sz w:val="24"/>
              </w:rPr>
              <w:t>一、</w:t>
            </w:r>
            <w:r>
              <w:rPr>
                <w:rFonts w:hint="eastAsia" w:ascii="仿宋" w:hAnsi="仿宋" w:eastAsia="仿宋" w:cs="仿宋"/>
                <w:color w:val="000000"/>
                <w:sz w:val="24"/>
                <w:lang w:val="en-US" w:eastAsia="zh-CN"/>
              </w:rPr>
              <w:t>大孔径CT定期保养质控（30分）</w:t>
            </w:r>
          </w:p>
        </w:tc>
        <w:tc>
          <w:tcPr>
            <w:tcW w:w="3126" w:type="dxa"/>
            <w:tcBorders>
              <w:top w:val="single" w:color="000000" w:sz="4" w:space="0"/>
              <w:left w:val="single" w:color="000000" w:sz="4" w:space="0"/>
              <w:right w:val="single" w:color="000000" w:sz="4" w:space="0"/>
            </w:tcBorders>
            <w:noWrap w:val="0"/>
            <w:vAlign w:val="center"/>
          </w:tcPr>
          <w:p>
            <w:pPr>
              <w:textAlignment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大孔径CT每年2次（每半年一次）保养及质控，并提供完整的保养质控记录本。（无需提供保养质控的季度，该评分项默认满分）</w:t>
            </w:r>
          </w:p>
        </w:tc>
        <w:tc>
          <w:tcPr>
            <w:tcW w:w="1213" w:type="dxa"/>
            <w:tcBorders>
              <w:top w:val="single" w:color="000000" w:sz="4" w:space="0"/>
              <w:left w:val="single" w:color="000000" w:sz="4" w:space="0"/>
              <w:right w:val="single" w:color="000000" w:sz="4" w:space="0"/>
            </w:tcBorders>
            <w:noWrap w:val="0"/>
            <w:vAlign w:val="center"/>
          </w:tcPr>
          <w:p>
            <w:pPr>
              <w:jc w:val="center"/>
              <w:textAlignment w:val="center"/>
              <w:rPr>
                <w:rFonts w:hint="eastAsia" w:ascii="仿宋" w:hAnsi="仿宋" w:eastAsia="仿宋" w:cs="仿宋"/>
                <w:color w:val="000000"/>
                <w:sz w:val="24"/>
                <w:lang w:val="en-US" w:eastAsia="zh-CN"/>
              </w:rPr>
            </w:pPr>
          </w:p>
          <w:p>
            <w:pPr>
              <w:jc w:val="center"/>
              <w:textAlignment w:val="center"/>
              <w:rPr>
                <w:rFonts w:hint="eastAsia" w:ascii="仿宋" w:hAnsi="仿宋" w:eastAsia="仿宋" w:cs="仿宋"/>
                <w:color w:val="000000"/>
                <w:sz w:val="24"/>
                <w:lang w:val="en-US" w:eastAsia="zh-CN"/>
              </w:rPr>
            </w:pPr>
          </w:p>
          <w:p>
            <w:pPr>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30分</w:t>
            </w:r>
          </w:p>
          <w:p>
            <w:pPr>
              <w:pStyle w:val="3"/>
              <w:rPr>
                <w:rFonts w:hint="default"/>
                <w:lang w:val="en-US" w:eastAsia="zh-CN"/>
              </w:rPr>
            </w:pPr>
          </w:p>
        </w:tc>
        <w:tc>
          <w:tcPr>
            <w:tcW w:w="2483" w:type="dxa"/>
            <w:tcBorders>
              <w:top w:val="single" w:color="000000" w:sz="4" w:space="0"/>
              <w:left w:val="single" w:color="000000" w:sz="4" w:space="0"/>
              <w:right w:val="single" w:color="000000" w:sz="4" w:space="0"/>
            </w:tcBorders>
            <w:noWrap w:val="0"/>
            <w:vAlign w:val="center"/>
          </w:tcPr>
          <w:p>
            <w:pPr>
              <w:textAlignment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每半年一次保养及质控，并提供完整的保养、质控记录本，每次15分。</w:t>
            </w:r>
          </w:p>
          <w:p>
            <w:pPr>
              <w:textAlignment w:val="center"/>
              <w:rPr>
                <w:rFonts w:ascii="仿宋" w:hAnsi="仿宋" w:eastAsia="仿宋" w:cs="仿宋"/>
                <w:sz w:val="24"/>
              </w:rPr>
            </w:pPr>
          </w:p>
        </w:tc>
        <w:tc>
          <w:tcPr>
            <w:tcW w:w="1555" w:type="dxa"/>
            <w:tcBorders>
              <w:top w:val="single" w:color="000000" w:sz="4" w:space="0"/>
              <w:left w:val="single" w:color="000000" w:sz="4" w:space="0"/>
              <w:right w:val="single" w:color="000000" w:sz="4" w:space="0"/>
            </w:tcBorders>
            <w:noWrap w:val="0"/>
            <w:vAlign w:val="center"/>
          </w:tcPr>
          <w:p>
            <w:pPr>
              <w:jc w:val="center"/>
              <w:rPr>
                <w:rFonts w:ascii="仿宋" w:hAnsi="仿宋" w:eastAsia="仿宋" w:cs="仿宋"/>
                <w:color w:val="000000"/>
                <w:sz w:val="24"/>
              </w:rPr>
            </w:pPr>
          </w:p>
        </w:tc>
      </w:tr>
      <w:tr>
        <w:tblPrEx>
          <w:tblCellMar>
            <w:top w:w="15" w:type="dxa"/>
            <w:left w:w="15" w:type="dxa"/>
            <w:bottom w:w="15" w:type="dxa"/>
            <w:right w:w="15" w:type="dxa"/>
          </w:tblCellMar>
        </w:tblPrEx>
        <w:trPr>
          <w:trHeight w:val="2314" w:hRule="atLeast"/>
        </w:trPr>
        <w:tc>
          <w:tcPr>
            <w:tcW w:w="1423" w:type="dxa"/>
            <w:tcBorders>
              <w:top w:val="single" w:color="000000" w:sz="4" w:space="0"/>
              <w:left w:val="single" w:color="000000" w:sz="4" w:space="0"/>
              <w:right w:val="single" w:color="000000" w:sz="4" w:space="0"/>
            </w:tcBorders>
            <w:noWrap w:val="0"/>
            <w:vAlign w:val="center"/>
          </w:tcPr>
          <w:p>
            <w:pPr>
              <w:rPr>
                <w:rFonts w:hint="eastAsia" w:ascii="仿宋" w:hAnsi="仿宋" w:eastAsia="仿宋" w:cs="仿宋"/>
                <w:color w:val="000000"/>
                <w:sz w:val="24"/>
                <w:lang w:eastAsia="zh-CN"/>
              </w:rPr>
            </w:pPr>
            <w:r>
              <w:rPr>
                <w:rFonts w:hint="eastAsia" w:ascii="仿宋" w:hAnsi="仿宋" w:eastAsia="仿宋" w:cs="仿宋"/>
                <w:color w:val="000000"/>
                <w:sz w:val="24"/>
                <w:lang w:val="en-US" w:eastAsia="zh-CN"/>
              </w:rPr>
              <w:t>二</w:t>
            </w:r>
            <w:r>
              <w:rPr>
                <w:rFonts w:hint="eastAsia" w:ascii="仿宋" w:hAnsi="仿宋" w:eastAsia="仿宋" w:cs="仿宋"/>
                <w:color w:val="000000"/>
                <w:sz w:val="24"/>
              </w:rPr>
              <w:t>、维修</w:t>
            </w:r>
            <w:r>
              <w:rPr>
                <w:rFonts w:hint="eastAsia" w:ascii="仿宋" w:hAnsi="仿宋" w:eastAsia="仿宋" w:cs="仿宋"/>
                <w:color w:val="000000"/>
                <w:sz w:val="24"/>
                <w:lang w:val="en-US" w:eastAsia="zh-CN"/>
              </w:rPr>
              <w:t>质量、</w:t>
            </w:r>
            <w:r>
              <w:rPr>
                <w:rFonts w:hint="eastAsia" w:ascii="仿宋" w:hAnsi="仿宋" w:eastAsia="仿宋" w:cs="仿宋"/>
                <w:color w:val="000000"/>
                <w:sz w:val="24"/>
              </w:rPr>
              <w:t>及时性</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40</w:t>
            </w:r>
            <w:r>
              <w:rPr>
                <w:rFonts w:hint="eastAsia" w:ascii="仿宋" w:hAnsi="仿宋" w:eastAsia="仿宋" w:cs="仿宋"/>
                <w:color w:val="000000"/>
                <w:sz w:val="24"/>
              </w:rPr>
              <w:t>分</w:t>
            </w:r>
            <w:r>
              <w:rPr>
                <w:rFonts w:hint="eastAsia" w:ascii="仿宋" w:hAnsi="仿宋" w:eastAsia="仿宋" w:cs="仿宋"/>
                <w:color w:val="000000"/>
                <w:sz w:val="24"/>
                <w:lang w:eastAsia="zh-CN"/>
              </w:rPr>
              <w:t>）</w:t>
            </w:r>
          </w:p>
        </w:tc>
        <w:tc>
          <w:tcPr>
            <w:tcW w:w="3126" w:type="dxa"/>
            <w:tcBorders>
              <w:top w:val="single" w:color="000000" w:sz="4" w:space="0"/>
              <w:left w:val="single" w:color="000000" w:sz="4" w:space="0"/>
              <w:right w:val="single" w:color="000000" w:sz="4" w:space="0"/>
            </w:tcBorders>
            <w:noWrap w:val="0"/>
            <w:vAlign w:val="center"/>
          </w:tcPr>
          <w:p>
            <w:pPr>
              <w:pStyle w:val="7"/>
              <w:spacing w:after="0"/>
              <w:ind w:left="0" w:leftChars="0" w:firstLine="0" w:firstLineChars="0"/>
              <w:rPr>
                <w:rFonts w:hint="default" w:ascii="仿宋" w:hAnsi="仿宋" w:eastAsia="仿宋" w:cs="仿宋"/>
                <w:color w:val="000000"/>
                <w:sz w:val="24"/>
                <w:lang w:val="en-US" w:eastAsia="zh-CN"/>
              </w:rPr>
            </w:pPr>
            <w:r>
              <w:rPr>
                <w:rFonts w:hint="eastAsia" w:ascii="仿宋" w:hAnsi="仿宋" w:eastAsia="仿宋" w:cs="仿宋"/>
                <w:color w:val="000000"/>
                <w:sz w:val="24"/>
              </w:rPr>
              <w:t>服务响应时间≤2小时，工程师到场时间≤</w:t>
            </w:r>
            <w:r>
              <w:rPr>
                <w:rFonts w:hint="eastAsia" w:ascii="仿宋" w:hAnsi="仿宋" w:eastAsia="仿宋" w:cs="仿宋"/>
                <w:color w:val="000000"/>
                <w:sz w:val="24"/>
                <w:lang w:val="en-US" w:eastAsia="zh-CN"/>
              </w:rPr>
              <w:t>12</w:t>
            </w:r>
            <w:r>
              <w:rPr>
                <w:rFonts w:hint="eastAsia" w:ascii="仿宋" w:hAnsi="仿宋" w:eastAsia="仿宋" w:cs="仿宋"/>
                <w:color w:val="000000"/>
                <w:sz w:val="24"/>
              </w:rPr>
              <w:t>小时，保证全年</w:t>
            </w:r>
            <w:r>
              <w:rPr>
                <w:rFonts w:hint="eastAsia" w:ascii="仿宋" w:hAnsi="仿宋" w:eastAsia="仿宋" w:cs="仿宋"/>
                <w:color w:val="000000"/>
                <w:sz w:val="24"/>
                <w:lang w:val="en-US" w:eastAsia="zh-CN"/>
              </w:rPr>
              <w:t>正常工作</w:t>
            </w:r>
            <w:r>
              <w:rPr>
                <w:rFonts w:hint="eastAsia" w:ascii="仿宋" w:hAnsi="仿宋" w:eastAsia="仿宋" w:cs="仿宋"/>
                <w:color w:val="000000"/>
                <w:sz w:val="24"/>
              </w:rPr>
              <w:t>开机率达到</w:t>
            </w:r>
            <w:r>
              <w:rPr>
                <w:rFonts w:hint="eastAsia" w:ascii="仿宋" w:hAnsi="仿宋" w:eastAsia="仿宋" w:cs="仿宋"/>
                <w:color w:val="000000"/>
                <w:sz w:val="24"/>
                <w:lang w:val="en-US" w:eastAsia="zh-CN"/>
              </w:rPr>
              <w:t>95</w:t>
            </w:r>
            <w:r>
              <w:rPr>
                <w:rFonts w:hint="eastAsia" w:ascii="仿宋" w:hAnsi="仿宋" w:eastAsia="仿宋" w:cs="仿宋"/>
                <w:color w:val="000000"/>
                <w:sz w:val="24"/>
              </w:rPr>
              <w:t>%以上</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并提供维修台账。</w:t>
            </w:r>
          </w:p>
        </w:tc>
        <w:tc>
          <w:tcPr>
            <w:tcW w:w="1213" w:type="dxa"/>
            <w:tcBorders>
              <w:top w:val="single" w:color="000000" w:sz="4" w:space="0"/>
              <w:left w:val="single" w:color="000000" w:sz="4" w:space="0"/>
              <w:right w:val="single" w:color="000000" w:sz="4" w:space="0"/>
            </w:tcBorders>
            <w:noWrap w:val="0"/>
            <w:vAlign w:val="center"/>
          </w:tcPr>
          <w:p>
            <w:pPr>
              <w:jc w:val="center"/>
              <w:textAlignment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40分</w:t>
            </w:r>
          </w:p>
        </w:tc>
        <w:tc>
          <w:tcPr>
            <w:tcW w:w="2483" w:type="dxa"/>
            <w:tcBorders>
              <w:top w:val="single" w:color="000000" w:sz="4" w:space="0"/>
              <w:left w:val="single" w:color="000000" w:sz="4" w:space="0"/>
              <w:right w:val="single" w:color="000000" w:sz="4" w:space="0"/>
            </w:tcBorders>
            <w:noWrap w:val="0"/>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一次不能及时</w:t>
            </w:r>
            <w:r>
              <w:rPr>
                <w:rFonts w:hint="eastAsia" w:ascii="仿宋" w:hAnsi="仿宋" w:eastAsia="仿宋" w:cs="仿宋"/>
                <w:color w:val="000000"/>
                <w:sz w:val="24"/>
                <w:lang w:val="en-US" w:eastAsia="zh-CN"/>
              </w:rPr>
              <w:t>完成维修或提供维修记录</w:t>
            </w:r>
            <w:r>
              <w:rPr>
                <w:rFonts w:hint="eastAsia" w:ascii="仿宋" w:hAnsi="仿宋" w:eastAsia="仿宋" w:cs="仿宋"/>
                <w:color w:val="000000"/>
                <w:sz w:val="24"/>
              </w:rPr>
              <w:t>扣2分，直至扣完。</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 w:val="24"/>
              </w:rPr>
            </w:pPr>
          </w:p>
        </w:tc>
      </w:tr>
      <w:tr>
        <w:tblPrEx>
          <w:tblCellMar>
            <w:top w:w="15" w:type="dxa"/>
            <w:left w:w="15" w:type="dxa"/>
            <w:bottom w:w="15" w:type="dxa"/>
            <w:right w:w="15" w:type="dxa"/>
          </w:tblCellMar>
        </w:tblPrEx>
        <w:trPr>
          <w:trHeight w:val="1841" w:hRule="atLeast"/>
        </w:trPr>
        <w:tc>
          <w:tcPr>
            <w:tcW w:w="1423" w:type="dxa"/>
            <w:tcBorders>
              <w:top w:val="single" w:color="auto" w:sz="4" w:space="0"/>
              <w:left w:val="single" w:color="auto" w:sz="4" w:space="0"/>
              <w:bottom w:val="single" w:color="auto" w:sz="4" w:space="0"/>
              <w:right w:val="single" w:color="000000" w:sz="4" w:space="0"/>
            </w:tcBorders>
            <w:noWrap w:val="0"/>
            <w:vAlign w:val="center"/>
          </w:tcPr>
          <w:p>
            <w:pPr>
              <w:jc w:val="center"/>
              <w:rPr>
                <w:rFonts w:hint="eastAsia" w:ascii="仿宋" w:hAnsi="仿宋" w:eastAsia="仿宋" w:cs="仿宋"/>
                <w:color w:val="000000"/>
                <w:sz w:val="24"/>
                <w:lang w:eastAsia="zh-CN"/>
              </w:rPr>
            </w:pPr>
            <w:r>
              <w:rPr>
                <w:rFonts w:hint="eastAsia" w:ascii="仿宋" w:hAnsi="仿宋" w:eastAsia="仿宋" w:cs="仿宋"/>
                <w:color w:val="000000"/>
                <w:sz w:val="24"/>
                <w:lang w:val="en-US" w:eastAsia="zh-CN"/>
              </w:rPr>
              <w:t>三</w:t>
            </w:r>
            <w:r>
              <w:rPr>
                <w:rFonts w:hint="eastAsia" w:ascii="仿宋" w:hAnsi="仿宋" w:eastAsia="仿宋" w:cs="仿宋"/>
                <w:color w:val="000000"/>
                <w:sz w:val="24"/>
              </w:rPr>
              <w:t>、使用科室专项</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20</w:t>
            </w:r>
            <w:r>
              <w:rPr>
                <w:rFonts w:hint="eastAsia" w:ascii="仿宋" w:hAnsi="仿宋" w:eastAsia="仿宋" w:cs="仿宋"/>
                <w:color w:val="000000"/>
                <w:sz w:val="24"/>
              </w:rPr>
              <w:t>分</w:t>
            </w:r>
            <w:r>
              <w:rPr>
                <w:rFonts w:hint="eastAsia" w:ascii="仿宋" w:hAnsi="仿宋" w:eastAsia="仿宋" w:cs="仿宋"/>
                <w:color w:val="000000"/>
                <w:sz w:val="24"/>
                <w:lang w:eastAsia="zh-CN"/>
              </w:rPr>
              <w:t>）</w:t>
            </w:r>
          </w:p>
        </w:tc>
        <w:tc>
          <w:tcPr>
            <w:tcW w:w="3126" w:type="dxa"/>
            <w:tcBorders>
              <w:top w:val="single" w:color="auto" w:sz="4" w:space="0"/>
              <w:left w:val="single" w:color="auto" w:sz="4" w:space="0"/>
              <w:bottom w:val="single" w:color="auto" w:sz="4" w:space="0"/>
              <w:right w:val="single" w:color="000000" w:sz="4" w:space="0"/>
            </w:tcBorders>
            <w:noWrap w:val="0"/>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使用科室对维保</w:t>
            </w:r>
            <w:r>
              <w:rPr>
                <w:rFonts w:hint="eastAsia" w:ascii="仿宋" w:hAnsi="仿宋" w:eastAsia="仿宋" w:cs="仿宋"/>
                <w:color w:val="000000"/>
                <w:sz w:val="24"/>
                <w:lang w:val="en-US" w:eastAsia="zh-CN"/>
              </w:rPr>
              <w:t>是否</w:t>
            </w:r>
            <w:r>
              <w:rPr>
                <w:rFonts w:hint="eastAsia" w:ascii="仿宋" w:hAnsi="仿宋" w:eastAsia="仿宋" w:cs="仿宋"/>
                <w:color w:val="000000"/>
                <w:sz w:val="24"/>
              </w:rPr>
              <w:t>工作满意。</w:t>
            </w:r>
          </w:p>
        </w:tc>
        <w:tc>
          <w:tcPr>
            <w:tcW w:w="1213" w:type="dxa"/>
            <w:tcBorders>
              <w:top w:val="single" w:color="auto" w:sz="4" w:space="0"/>
              <w:left w:val="single" w:color="000000" w:sz="4" w:space="0"/>
              <w:bottom w:val="single" w:color="auto" w:sz="4" w:space="0"/>
              <w:right w:val="single" w:color="000000" w:sz="4" w:space="0"/>
            </w:tcBorders>
            <w:noWrap w:val="0"/>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lang w:val="en-US" w:eastAsia="zh-CN"/>
              </w:rPr>
              <w:t>20</w:t>
            </w:r>
            <w:r>
              <w:rPr>
                <w:rFonts w:hint="eastAsia" w:ascii="仿宋" w:hAnsi="仿宋" w:eastAsia="仿宋" w:cs="仿宋"/>
                <w:color w:val="000000"/>
                <w:sz w:val="24"/>
              </w:rPr>
              <w:t>分</w:t>
            </w:r>
          </w:p>
        </w:tc>
        <w:tc>
          <w:tcPr>
            <w:tcW w:w="2483" w:type="dxa"/>
            <w:tcBorders>
              <w:top w:val="single" w:color="auto" w:sz="4" w:space="0"/>
              <w:left w:val="single" w:color="000000" w:sz="4" w:space="0"/>
              <w:bottom w:val="single" w:color="auto" w:sz="4" w:space="0"/>
              <w:right w:val="single" w:color="auto" w:sz="4" w:space="0"/>
            </w:tcBorders>
            <w:noWrap w:val="0"/>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满意：</w:t>
            </w:r>
            <w:r>
              <w:rPr>
                <w:rFonts w:hint="eastAsia" w:ascii="仿宋" w:hAnsi="仿宋" w:eastAsia="仿宋" w:cs="仿宋"/>
                <w:color w:val="000000"/>
                <w:sz w:val="24"/>
                <w:lang w:val="en-US" w:eastAsia="zh-CN"/>
              </w:rPr>
              <w:t>20</w:t>
            </w:r>
            <w:r>
              <w:rPr>
                <w:rFonts w:hint="eastAsia" w:ascii="仿宋" w:hAnsi="仿宋" w:eastAsia="仿宋" w:cs="仿宋"/>
                <w:color w:val="000000"/>
                <w:sz w:val="24"/>
              </w:rPr>
              <w:t>分；基本满意：</w:t>
            </w:r>
            <w:r>
              <w:rPr>
                <w:rFonts w:hint="eastAsia" w:ascii="仿宋" w:hAnsi="仿宋" w:eastAsia="仿宋" w:cs="仿宋"/>
                <w:color w:val="000000"/>
                <w:sz w:val="24"/>
                <w:lang w:val="en-US" w:eastAsia="zh-CN"/>
              </w:rPr>
              <w:t>1</w:t>
            </w:r>
            <w:r>
              <w:rPr>
                <w:rFonts w:hint="eastAsia" w:ascii="仿宋" w:hAnsi="仿宋" w:eastAsia="仿宋" w:cs="仿宋"/>
                <w:color w:val="000000"/>
                <w:sz w:val="24"/>
              </w:rPr>
              <w:t>5分；不满意：</w:t>
            </w:r>
            <w:r>
              <w:rPr>
                <w:rFonts w:hint="eastAsia" w:ascii="仿宋" w:hAnsi="仿宋" w:eastAsia="仿宋" w:cs="仿宋"/>
                <w:color w:val="000000"/>
                <w:sz w:val="24"/>
                <w:lang w:val="en-US" w:eastAsia="zh-CN"/>
              </w:rPr>
              <w:t>1</w:t>
            </w:r>
            <w:r>
              <w:rPr>
                <w:rFonts w:hint="eastAsia" w:ascii="仿宋" w:hAnsi="仿宋" w:eastAsia="仿宋" w:cs="仿宋"/>
                <w:color w:val="000000"/>
                <w:sz w:val="24"/>
              </w:rPr>
              <w:t>0分</w:t>
            </w:r>
          </w:p>
        </w:tc>
        <w:tc>
          <w:tcPr>
            <w:tcW w:w="155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s="仿宋"/>
                <w:color w:val="000000"/>
                <w:sz w:val="24"/>
              </w:rPr>
            </w:pPr>
          </w:p>
        </w:tc>
      </w:tr>
      <w:tr>
        <w:tblPrEx>
          <w:tblCellMar>
            <w:top w:w="15" w:type="dxa"/>
            <w:left w:w="15" w:type="dxa"/>
            <w:bottom w:w="15" w:type="dxa"/>
            <w:right w:w="15" w:type="dxa"/>
          </w:tblCellMar>
        </w:tblPrEx>
        <w:trPr>
          <w:trHeight w:val="1981" w:hRule="atLeast"/>
        </w:trPr>
        <w:tc>
          <w:tcPr>
            <w:tcW w:w="1423" w:type="dxa"/>
            <w:tcBorders>
              <w:top w:val="single" w:color="auto" w:sz="4" w:space="0"/>
              <w:left w:val="single" w:color="000000" w:sz="4" w:space="0"/>
              <w:bottom w:val="single" w:color="000000" w:sz="4" w:space="0"/>
              <w:right w:val="single" w:color="000000" w:sz="4" w:space="0"/>
            </w:tcBorders>
            <w:noWrap w:val="0"/>
            <w:vAlign w:val="center"/>
          </w:tcPr>
          <w:p>
            <w:pPr>
              <w:rPr>
                <w:rFonts w:hint="eastAsia" w:ascii="仿宋" w:hAnsi="仿宋" w:eastAsia="仿宋" w:cs="仿宋"/>
                <w:color w:val="000000"/>
                <w:sz w:val="24"/>
                <w:lang w:eastAsia="zh-CN"/>
              </w:rPr>
            </w:pPr>
            <w:r>
              <w:rPr>
                <w:rFonts w:hint="eastAsia" w:ascii="仿宋" w:hAnsi="仿宋" w:eastAsia="仿宋" w:cs="仿宋"/>
                <w:color w:val="000000"/>
                <w:sz w:val="24"/>
                <w:lang w:val="en-US" w:eastAsia="zh-CN"/>
              </w:rPr>
              <w:t>四</w:t>
            </w:r>
            <w:r>
              <w:rPr>
                <w:rFonts w:hint="eastAsia" w:ascii="仿宋" w:hAnsi="仿宋" w:eastAsia="仿宋" w:cs="仿宋"/>
                <w:color w:val="000000"/>
                <w:sz w:val="24"/>
              </w:rPr>
              <w:t>、医学装备科专项</w:t>
            </w:r>
            <w:r>
              <w:rPr>
                <w:rFonts w:hint="eastAsia" w:ascii="仿宋" w:hAnsi="仿宋" w:eastAsia="仿宋" w:cs="仿宋"/>
                <w:color w:val="000000"/>
                <w:sz w:val="24"/>
                <w:lang w:eastAsia="zh-CN"/>
              </w:rPr>
              <w:t>（</w:t>
            </w:r>
            <w:r>
              <w:rPr>
                <w:rFonts w:hint="eastAsia" w:ascii="仿宋" w:hAnsi="仿宋" w:eastAsia="仿宋" w:cs="仿宋"/>
                <w:color w:val="000000"/>
                <w:sz w:val="24"/>
              </w:rPr>
              <w:t>10分</w:t>
            </w:r>
            <w:r>
              <w:rPr>
                <w:rFonts w:hint="eastAsia" w:ascii="仿宋" w:hAnsi="仿宋" w:eastAsia="仿宋" w:cs="仿宋"/>
                <w:color w:val="000000"/>
                <w:sz w:val="24"/>
                <w:lang w:eastAsia="zh-CN"/>
              </w:rPr>
              <w:t>）</w:t>
            </w:r>
          </w:p>
        </w:tc>
        <w:tc>
          <w:tcPr>
            <w:tcW w:w="3126" w:type="dxa"/>
            <w:tcBorders>
              <w:top w:val="single" w:color="auto" w:sz="4" w:space="0"/>
              <w:left w:val="single" w:color="auto" w:sz="4" w:space="0"/>
              <w:bottom w:val="single" w:color="auto" w:sz="4" w:space="0"/>
              <w:right w:val="single" w:color="000000" w:sz="4" w:space="0"/>
            </w:tcBorders>
            <w:noWrap w:val="0"/>
            <w:vAlign w:val="center"/>
          </w:tcPr>
          <w:p>
            <w:pPr>
              <w:textAlignment w:val="center"/>
              <w:rPr>
                <w:rFonts w:hint="eastAsia" w:ascii="仿宋" w:hAnsi="仿宋" w:eastAsia="仿宋" w:cs="仿宋"/>
                <w:color w:val="000000"/>
                <w:sz w:val="24"/>
                <w:lang w:eastAsia="zh-CN"/>
              </w:rPr>
            </w:pPr>
            <w:r>
              <w:rPr>
                <w:rFonts w:hint="eastAsia" w:ascii="仿宋" w:hAnsi="仿宋" w:eastAsia="仿宋" w:cs="仿宋"/>
                <w:color w:val="000000"/>
                <w:sz w:val="24"/>
              </w:rPr>
              <w:t>10、医学装备科对维保</w:t>
            </w:r>
            <w:r>
              <w:rPr>
                <w:rFonts w:hint="eastAsia" w:ascii="仿宋" w:hAnsi="仿宋" w:eastAsia="仿宋" w:cs="仿宋"/>
                <w:color w:val="000000"/>
                <w:sz w:val="24"/>
                <w:lang w:val="en-US" w:eastAsia="zh-CN"/>
              </w:rPr>
              <w:t>是否</w:t>
            </w:r>
            <w:r>
              <w:rPr>
                <w:rFonts w:hint="eastAsia" w:ascii="仿宋" w:hAnsi="仿宋" w:eastAsia="仿宋" w:cs="仿宋"/>
                <w:color w:val="000000"/>
                <w:sz w:val="24"/>
              </w:rPr>
              <w:t>工作满意</w:t>
            </w:r>
            <w:r>
              <w:rPr>
                <w:rFonts w:hint="eastAsia" w:ascii="仿宋" w:hAnsi="仿宋" w:eastAsia="仿宋" w:cs="仿宋"/>
                <w:color w:val="000000"/>
                <w:sz w:val="24"/>
                <w:lang w:eastAsia="zh-CN"/>
              </w:rPr>
              <w:t>。</w:t>
            </w:r>
          </w:p>
        </w:tc>
        <w:tc>
          <w:tcPr>
            <w:tcW w:w="1213" w:type="dxa"/>
            <w:tcBorders>
              <w:top w:val="single" w:color="auto" w:sz="4" w:space="0"/>
              <w:left w:val="single" w:color="000000" w:sz="4" w:space="0"/>
              <w:bottom w:val="single" w:color="auto" w:sz="4" w:space="0"/>
              <w:right w:val="single" w:color="000000" w:sz="4" w:space="0"/>
            </w:tcBorders>
            <w:noWrap w:val="0"/>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10分</w:t>
            </w:r>
          </w:p>
        </w:tc>
        <w:tc>
          <w:tcPr>
            <w:tcW w:w="2483" w:type="dxa"/>
            <w:tcBorders>
              <w:top w:val="single" w:color="auto" w:sz="4" w:space="0"/>
              <w:left w:val="single" w:color="000000" w:sz="4" w:space="0"/>
              <w:bottom w:val="single" w:color="auto" w:sz="4" w:space="0"/>
              <w:right w:val="single" w:color="auto" w:sz="4" w:space="0"/>
            </w:tcBorders>
            <w:noWrap w:val="0"/>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满意：10分；基本满意：5分；不满意：0分</w:t>
            </w:r>
          </w:p>
        </w:tc>
        <w:tc>
          <w:tcPr>
            <w:tcW w:w="1555" w:type="dxa"/>
            <w:tcBorders>
              <w:top w:val="single" w:color="auto" w:sz="4" w:space="0"/>
              <w:left w:val="single" w:color="auto" w:sz="4" w:space="0"/>
              <w:bottom w:val="single" w:color="000000" w:sz="4" w:space="0"/>
              <w:right w:val="single" w:color="000000" w:sz="4" w:space="0"/>
            </w:tcBorders>
            <w:noWrap w:val="0"/>
            <w:vAlign w:val="center"/>
          </w:tcPr>
          <w:p>
            <w:pPr>
              <w:jc w:val="center"/>
              <w:rPr>
                <w:rFonts w:ascii="仿宋" w:hAnsi="仿宋" w:eastAsia="仿宋" w:cs="仿宋"/>
                <w:color w:val="000000"/>
                <w:sz w:val="24"/>
              </w:rPr>
            </w:pPr>
          </w:p>
        </w:tc>
      </w:tr>
      <w:tr>
        <w:tblPrEx>
          <w:tblCellMar>
            <w:top w:w="15" w:type="dxa"/>
            <w:left w:w="15" w:type="dxa"/>
            <w:bottom w:w="15" w:type="dxa"/>
            <w:right w:w="15" w:type="dxa"/>
          </w:tblCellMar>
        </w:tblPrEx>
        <w:trPr>
          <w:trHeight w:val="1482" w:hRule="atLeast"/>
        </w:trPr>
        <w:tc>
          <w:tcPr>
            <w:tcW w:w="8245"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总得分</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 w:val="24"/>
              </w:rPr>
            </w:pPr>
          </w:p>
        </w:tc>
      </w:tr>
    </w:tbl>
    <w:p>
      <w:pPr>
        <w:pStyle w:val="3"/>
        <w:adjustRightInd w:val="0"/>
        <w:snapToGrid w:val="0"/>
        <w:spacing w:after="0" w:line="360" w:lineRule="auto"/>
        <w:ind w:firstLine="422" w:firstLineChars="200"/>
        <w:rPr>
          <w:rFonts w:hint="eastAsia" w:ascii="仿宋" w:hAnsi="仿宋" w:eastAsia="仿宋"/>
          <w:b/>
          <w:sz w:val="21"/>
          <w:szCs w:val="21"/>
        </w:rPr>
      </w:pPr>
    </w:p>
    <w:p>
      <w:pPr>
        <w:pStyle w:val="3"/>
        <w:adjustRightInd w:val="0"/>
        <w:snapToGrid w:val="0"/>
        <w:spacing w:after="0" w:line="360" w:lineRule="auto"/>
        <w:jc w:val="center"/>
        <w:rPr>
          <w:rFonts w:hint="eastAsia" w:cs="宋体"/>
          <w:b/>
          <w:sz w:val="28"/>
          <w:szCs w:val="28"/>
          <w:lang w:val="en-US" w:eastAsia="zh-CN"/>
        </w:rPr>
      </w:pPr>
    </w:p>
    <w:p>
      <w:pPr>
        <w:pStyle w:val="3"/>
        <w:adjustRightInd w:val="0"/>
        <w:snapToGrid w:val="0"/>
        <w:spacing w:after="0" w:line="360" w:lineRule="auto"/>
        <w:jc w:val="center"/>
        <w:rPr>
          <w:rFonts w:hint="eastAsia" w:ascii="宋体" w:hAnsi="宋体" w:eastAsia="宋体" w:cs="宋体"/>
          <w:b/>
          <w:sz w:val="24"/>
          <w:szCs w:val="24"/>
        </w:rPr>
      </w:pPr>
      <w:r>
        <w:rPr>
          <w:rFonts w:hint="eastAsia" w:cs="宋体"/>
          <w:b/>
          <w:sz w:val="28"/>
          <w:szCs w:val="28"/>
          <w:lang w:val="en-US" w:eastAsia="zh-CN"/>
        </w:rPr>
        <w:t>第二节 商务要求</w:t>
      </w:r>
    </w:p>
    <w:p>
      <w:pPr>
        <w:pStyle w:val="3"/>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Theme="minorEastAsia" w:hAnsiTheme="minorEastAsia" w:eastAsiaTheme="minorEastAsia" w:cstheme="minorEastAsia"/>
          <w:color w:val="auto"/>
          <w:sz w:val="24"/>
          <w:szCs w:val="24"/>
          <w:highlight w:val="yellow"/>
          <w:lang w:eastAsia="zh-CN"/>
        </w:rPr>
      </w:pPr>
      <w:r>
        <w:rPr>
          <w:rFonts w:hint="eastAsia" w:asciiTheme="minorEastAsia" w:hAnsiTheme="minorEastAsia" w:eastAsiaTheme="minorEastAsia" w:cstheme="minorEastAsia"/>
          <w:sz w:val="24"/>
          <w:szCs w:val="24"/>
        </w:rPr>
        <w:t>服务地点：马鞍山市人民医院</w:t>
      </w:r>
      <w:r>
        <w:rPr>
          <w:rFonts w:hint="eastAsia" w:asciiTheme="minorEastAsia" w:hAnsiTheme="minorEastAsia" w:eastAsiaTheme="minorEastAsia" w:cstheme="minorEastAsia"/>
          <w:sz w:val="24"/>
          <w:szCs w:val="24"/>
          <w:lang w:eastAsia="zh-CN"/>
        </w:rPr>
        <w:t>。</w:t>
      </w:r>
    </w:p>
    <w:p>
      <w:pPr>
        <w:pStyle w:val="3"/>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付款方式：</w:t>
      </w:r>
      <w:r>
        <w:rPr>
          <w:rFonts w:hint="eastAsia" w:asciiTheme="minorEastAsia" w:hAnsiTheme="minorEastAsia" w:eastAsiaTheme="minorEastAsia" w:cstheme="minorEastAsia"/>
          <w:color w:val="auto"/>
          <w:sz w:val="24"/>
          <w:szCs w:val="24"/>
          <w:highlight w:val="none"/>
          <w:lang w:val="en-US" w:eastAsia="zh-CN"/>
        </w:rPr>
        <w:t>第一年度第一季度支付当年100%服务费，第二年度第一季度根据第一年度考核核定维保服务费后支付相应服务费用，第三年度完成全年服务后，根据第二年度及第三年度考核核定维保服务费后</w:t>
      </w:r>
      <w:bookmarkStart w:id="0" w:name="_GoBack"/>
      <w:bookmarkEnd w:id="0"/>
      <w:r>
        <w:rPr>
          <w:rFonts w:hint="eastAsia" w:asciiTheme="minorEastAsia" w:hAnsiTheme="minorEastAsia" w:eastAsiaTheme="minorEastAsia" w:cstheme="minorEastAsia"/>
          <w:color w:val="auto"/>
          <w:sz w:val="24"/>
          <w:szCs w:val="24"/>
          <w:highlight w:val="none"/>
          <w:lang w:val="en-US" w:eastAsia="zh-CN"/>
        </w:rPr>
        <w:t>支付服务费用。</w:t>
      </w:r>
    </w:p>
    <w:p>
      <w:pPr>
        <w:pStyle w:val="3"/>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highlight w:val="none"/>
          <w:lang w:val="en-US" w:eastAsia="zh-CN"/>
        </w:rPr>
        <w:t>年检要求：确保设备能够通过有资质的第三方检测机构的年度检测（年检报告等）</w:t>
      </w:r>
    </w:p>
    <w:p>
      <w:pPr>
        <w:pStyle w:val="3"/>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年度考核低于60分，取消签订下年度合同。</w:t>
      </w:r>
    </w:p>
    <w:p>
      <w:pPr>
        <w:pStyle w:val="3"/>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中标方因维保质量发生安全事故造成设备设施损坏，按照设备实价赔偿并解除合同。</w:t>
      </w:r>
    </w:p>
    <w:p>
      <w:pPr>
        <w:pStyle w:val="3"/>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Theme="minorEastAsia" w:hAnsiTheme="minorEastAsia" w:eastAsiaTheme="minorEastAsia" w:cstheme="minorEastAsia"/>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CC23C2"/>
    <w:multiLevelType w:val="singleLevel"/>
    <w:tmpl w:val="84CC23C2"/>
    <w:lvl w:ilvl="0" w:tentative="0">
      <w:start w:val="1"/>
      <w:numFmt w:val="decimal"/>
      <w:lvlText w:val="%1."/>
      <w:lvlJc w:val="left"/>
      <w:pPr>
        <w:ind w:left="425" w:hanging="425"/>
      </w:pPr>
      <w:rPr>
        <w:rFonts w:hint="default"/>
      </w:rPr>
    </w:lvl>
  </w:abstractNum>
  <w:abstractNum w:abstractNumId="1">
    <w:nsid w:val="13B0098C"/>
    <w:multiLevelType w:val="singleLevel"/>
    <w:tmpl w:val="13B0098C"/>
    <w:lvl w:ilvl="0" w:tentative="0">
      <w:start w:val="1"/>
      <w:numFmt w:val="decimal"/>
      <w:lvlText w:val="%1."/>
      <w:lvlJc w:val="left"/>
      <w:pPr>
        <w:ind w:left="425" w:hanging="425"/>
      </w:pPr>
      <w:rPr>
        <w:rFonts w:hint="default"/>
      </w:rPr>
    </w:lvl>
  </w:abstractNum>
  <w:abstractNum w:abstractNumId="2">
    <w:nsid w:val="349698C9"/>
    <w:multiLevelType w:val="singleLevel"/>
    <w:tmpl w:val="349698C9"/>
    <w:lvl w:ilvl="0" w:tentative="0">
      <w:start w:val="1"/>
      <w:numFmt w:val="decimal"/>
      <w:lvlText w:val="%1."/>
      <w:lvlJc w:val="left"/>
      <w:pPr>
        <w:ind w:left="425" w:hanging="425"/>
      </w:pPr>
      <w:rPr>
        <w:rFonts w:hint="default"/>
        <w:highlight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MzU0NDBlMjc0Y2UxYjZkNTNmNzRmOWRiOGQ0NDEifQ=="/>
  </w:docVars>
  <w:rsids>
    <w:rsidRoot w:val="490801CF"/>
    <w:rsid w:val="00F76805"/>
    <w:rsid w:val="0337738D"/>
    <w:rsid w:val="05924D4E"/>
    <w:rsid w:val="09FD5628"/>
    <w:rsid w:val="10600B4C"/>
    <w:rsid w:val="12271FB4"/>
    <w:rsid w:val="130A686C"/>
    <w:rsid w:val="1AB339DA"/>
    <w:rsid w:val="1DB25B36"/>
    <w:rsid w:val="2009078B"/>
    <w:rsid w:val="24FB4266"/>
    <w:rsid w:val="2A0B52FE"/>
    <w:rsid w:val="2B60592A"/>
    <w:rsid w:val="2F8F5CD7"/>
    <w:rsid w:val="31422EA9"/>
    <w:rsid w:val="336A4CEA"/>
    <w:rsid w:val="3AFF7CE9"/>
    <w:rsid w:val="41066F68"/>
    <w:rsid w:val="41793146"/>
    <w:rsid w:val="418E7C69"/>
    <w:rsid w:val="42C43A92"/>
    <w:rsid w:val="47E26E94"/>
    <w:rsid w:val="490801CF"/>
    <w:rsid w:val="494B2817"/>
    <w:rsid w:val="4BBE19C6"/>
    <w:rsid w:val="4D103F59"/>
    <w:rsid w:val="4F0B0176"/>
    <w:rsid w:val="4F5670DB"/>
    <w:rsid w:val="558E370F"/>
    <w:rsid w:val="5AF80325"/>
    <w:rsid w:val="611E4770"/>
    <w:rsid w:val="6FE74798"/>
    <w:rsid w:val="722577FA"/>
    <w:rsid w:val="77C5718C"/>
    <w:rsid w:val="790A14F7"/>
    <w:rsid w:val="7BB4473F"/>
    <w:rsid w:val="7CBC3FBF"/>
    <w:rsid w:val="7DE73513"/>
    <w:rsid w:val="7F816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cs="宋体"/>
      <w:sz w:val="32"/>
      <w:szCs w:val="32"/>
      <w:lang w:val="zh-CN" w:bidi="zh-CN"/>
    </w:rPr>
  </w:style>
  <w:style w:type="paragraph" w:styleId="4">
    <w:name w:val="Body Text Indent"/>
    <w:basedOn w:val="1"/>
    <w:next w:val="5"/>
    <w:autoRedefine/>
    <w:qFormat/>
    <w:uiPriority w:val="0"/>
    <w:pPr>
      <w:spacing w:after="120"/>
      <w:ind w:left="420" w:leftChars="200"/>
    </w:pPr>
  </w:style>
  <w:style w:type="paragraph" w:styleId="5">
    <w:name w:val="envelope return"/>
    <w:basedOn w:val="1"/>
    <w:autoRedefine/>
    <w:qFormat/>
    <w:uiPriority w:val="0"/>
    <w:pPr>
      <w:snapToGrid w:val="0"/>
    </w:pPr>
    <w:rPr>
      <w:rFonts w:ascii="Arial" w:hAnsi="Arial"/>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4"/>
    <w:autoRedefine/>
    <w:qFormat/>
    <w:uiPriority w:val="0"/>
    <w:pPr>
      <w:ind w:firstLine="420" w:firstLineChars="200"/>
    </w:pPr>
  </w:style>
  <w:style w:type="character" w:customStyle="1" w:styleId="10">
    <w:name w:val="apple-converted-space"/>
    <w:autoRedefine/>
    <w:qFormat/>
    <w:uiPriority w:val="0"/>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2024-03-07T07:51:00Z</dcterms:created>
  <dc:creator>侃</dc:creator>
  <cp:lastModifiedBy>不语</cp:lastModifiedBy>
  <dcterms:modified xsi:type="dcterms:W3CDTF">2024-04-10T02:07:19Z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5D25EE1DF316424193749F9DB6651368_13</vt:lpwstr>
  </property>
</Properties>
</file>