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2409" w:firstLineChars="1000"/>
        <w:jc w:val="left"/>
        <w:rPr>
          <w:rFonts w:ascii="宋体" w:hAnsi="宋体" w:cs="宋体"/>
          <w:b/>
          <w:sz w:val="24"/>
          <w:szCs w:val="22"/>
        </w:rPr>
      </w:pPr>
      <w:r>
        <w:rPr>
          <w:rFonts w:hint="eastAsia" w:ascii="宋体" w:hAnsi="宋体" w:cs="宋体"/>
          <w:b/>
          <w:sz w:val="24"/>
          <w:szCs w:val="22"/>
        </w:rPr>
        <w:t>混匀仪技术参数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1、转速：600-3200rpm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2、可调速度控制：能从低速振动到高速旋涡混合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3、混合方式：自动与点振混和两种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4、稳定性：足够重量的整体金属外壳，为各种混合提供了稳定的操作平台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5、各种形状、尺寸和材料的附件提供了一个广泛的应用范围，适合各种试管与</w:t>
      </w:r>
      <w:bookmarkStart w:id="0" w:name="_GoBack"/>
      <w:bookmarkEnd w:id="0"/>
      <w:r>
        <w:rPr>
          <w:rFonts w:hint="eastAsia" w:ascii="宋体" w:hAnsi="宋体" w:cs="宋体"/>
          <w:bCs/>
          <w:sz w:val="24"/>
          <w:szCs w:val="22"/>
        </w:rPr>
        <w:t>容器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6、低噪音，不移位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7、配件：主机+标准垫片+3英寸平板垫片。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8、功率：12W</w:t>
      </w:r>
    </w:p>
    <w:p>
      <w:pPr>
        <w:spacing w:line="400" w:lineRule="exact"/>
        <w:jc w:val="center"/>
        <w:rPr>
          <w:rFonts w:ascii="宋体" w:hAnsi="宋体" w:cs="宋体"/>
          <w:b/>
          <w:sz w:val="24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21582F37"/>
    <w:rsid w:val="21582F37"/>
    <w:rsid w:val="3114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2023-11-13T01:49:00Z</dcterms:created>
  <dc:creator>刘建民</dc:creator>
  <cp:lastModifiedBy>高杨</cp:lastModifiedBy>
  <dcterms:modified xsi:type="dcterms:W3CDTF">2024-03-11T08:39:33Z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524FD1645F42411BBE835571062A9D45_13</vt:lpwstr>
  </property>
</Properties>
</file>