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动态葡萄糖监测系统配套传感器 参数要求</w:t>
      </w:r>
    </w:p>
    <w:p>
      <w:pPr>
        <w:rPr>
          <w:rFonts w:ascii="仿宋" w:hAnsi="仿宋" w:eastAsia="仿宋"/>
          <w:b/>
          <w:bCs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★1、配套雅培动态葡萄糖监测系统使用；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2、传感器发射器为一体化设计；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3、血糖传感器使用寿命14天。</w:t>
      </w: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4、与雅培动态葡萄糖监测系统在同一个注册证上。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B97"/>
    <w:rsid w:val="000B7B97"/>
    <w:rsid w:val="008E395A"/>
    <w:rsid w:val="13BF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83</Characters>
  <Lines>1</Lines>
  <Paragraphs>1</Paragraphs>
  <TotalTime>2</TotalTime>
  <ScaleCrop>false</ScaleCrop>
  <LinksUpToDate>false</LinksUpToDate>
  <CharactersWithSpaces>96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2023-09-13T01:07:00Z</dcterms:created>
  <dc:creator>星人 万</dc:creator>
  <cp:lastModifiedBy>高杨</cp:lastModifiedBy>
  <dcterms:modified xsi:type="dcterms:W3CDTF">2024-01-29T02:47:10Z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8FB065BB3E6C428E8520AC38C7A61BA0_13</vt:lpwstr>
  </property>
</Properties>
</file>