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2409" w:firstLineChars="1000"/>
        <w:jc w:val="left"/>
        <w:rPr>
          <w:rFonts w:ascii="宋体" w:hAnsi="宋体" w:cs="宋体"/>
          <w:b/>
          <w:sz w:val="24"/>
          <w:szCs w:val="22"/>
        </w:rPr>
      </w:pPr>
      <w:r>
        <w:rPr>
          <w:rFonts w:hint="eastAsia" w:ascii="宋体" w:hAnsi="宋体" w:cs="宋体"/>
          <w:b/>
          <w:sz w:val="24"/>
          <w:szCs w:val="22"/>
        </w:rPr>
        <w:t>混匀仪技术参数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1、转速：600-3200rpm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2、可调速度控制：能从低速振动到高速旋涡混合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3、混合方式：自动与点振混和两种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4、稳定性：足够重量的整体金属外壳，为各种混合提供了稳定的操作平台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5、各种形状、尺寸和材料的附件提供了一个广泛的应用范围，适合各种试管与容器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6、低噪音，不移位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7、配件：主机+标准垫片+3英寸平板垫片。</w:t>
      </w:r>
    </w:p>
    <w:p>
      <w:pPr>
        <w:spacing w:line="400" w:lineRule="exact"/>
        <w:rPr>
          <w:rFonts w:ascii="宋体" w:hAnsi="宋体" w:cs="宋体"/>
          <w:bCs/>
          <w:sz w:val="24"/>
          <w:szCs w:val="22"/>
        </w:rPr>
      </w:pPr>
      <w:r>
        <w:rPr>
          <w:rFonts w:hint="eastAsia" w:ascii="宋体" w:hAnsi="宋体" w:cs="宋体"/>
          <w:bCs/>
          <w:sz w:val="24"/>
          <w:szCs w:val="22"/>
        </w:rPr>
        <w:t>8、功率：12W</w:t>
      </w:r>
    </w:p>
    <w:p>
      <w:pPr>
        <w:spacing w:line="400" w:lineRule="exact"/>
        <w:jc w:val="center"/>
        <w:rPr>
          <w:rFonts w:ascii="宋体" w:hAnsi="宋体" w:cs="宋体"/>
          <w:b/>
          <w:sz w:val="24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21582F37"/>
    <w:rsid w:val="2158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2023-11-13T01:49:00Z</dcterms:created>
  <dc:creator>刘建民</dc:creator>
  <cp:lastModifiedBy>刘建民</cp:lastModifiedBy>
  <dcterms:modified xsi:type="dcterms:W3CDTF">2023-11-13T01:49:24Z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0703AEDFE5054C45AE8EF1F3E4B010A4_11</vt:lpwstr>
  </property>
</Properties>
</file>