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534" w:firstLineChars="1100"/>
        <w:rPr>
          <w:b/>
          <w:sz w:val="32"/>
          <w:szCs w:val="32"/>
        </w:rPr>
      </w:pPr>
      <w:r>
        <w:rPr>
          <w:rFonts w:hint="eastAsia" w:ascii="宋体" w:cs="宋体"/>
          <w:b/>
          <w:bCs/>
          <w:sz w:val="32"/>
          <w:szCs w:val="32"/>
          <w:lang w:eastAsia="zh-CN"/>
        </w:rPr>
        <w:t>大容量</w:t>
      </w:r>
      <w:bookmarkStart w:id="0" w:name="_GoBack"/>
      <w:bookmarkEnd w:id="0"/>
      <w:r>
        <w:rPr>
          <w:rFonts w:hint="eastAsia" w:ascii="宋体" w:cs="宋体"/>
          <w:b/>
          <w:bCs/>
          <w:sz w:val="32"/>
          <w:szCs w:val="32"/>
        </w:rPr>
        <w:t>离心机</w:t>
      </w:r>
      <w:r>
        <w:rPr>
          <w:rFonts w:hint="eastAsia"/>
          <w:b/>
          <w:sz w:val="32"/>
          <w:szCs w:val="32"/>
        </w:rPr>
        <w:t>技术参数</w:t>
      </w:r>
      <w:r>
        <w:rPr>
          <w:b/>
          <w:sz w:val="32"/>
          <w:szCs w:val="32"/>
        </w:rPr>
        <w:t>:</w:t>
      </w:r>
    </w:p>
    <w:tbl>
      <w:tblPr>
        <w:tblStyle w:val="5"/>
        <w:tblW w:w="100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778"/>
        <w:gridCol w:w="7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456" w:type="dxa"/>
          </w:tcPr>
          <w:p>
            <w:pPr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78" w:type="dxa"/>
          </w:tcPr>
          <w:p>
            <w:pPr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参数类型</w:t>
            </w:r>
          </w:p>
        </w:tc>
        <w:tc>
          <w:tcPr>
            <w:tcW w:w="7849" w:type="dxa"/>
          </w:tcPr>
          <w:p>
            <w:pPr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参数要求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456" w:type="dxa"/>
          </w:tcPr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</w:t>
            </w:r>
          </w:p>
        </w:tc>
        <w:tc>
          <w:tcPr>
            <w:tcW w:w="1778" w:type="dxa"/>
          </w:tcPr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证书</w:t>
            </w:r>
          </w:p>
        </w:tc>
        <w:tc>
          <w:tcPr>
            <w:tcW w:w="7849" w:type="dxa"/>
          </w:tcPr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医疗器械注册证；以及 ISO13485：20</w:t>
            </w:r>
            <w:r>
              <w:rPr>
                <w:kern w:val="0"/>
                <w:sz w:val="24"/>
              </w:rPr>
              <w:t>16</w:t>
            </w:r>
            <w:r>
              <w:rPr>
                <w:rFonts w:hint="eastAsia"/>
                <w:kern w:val="0"/>
                <w:sz w:val="24"/>
              </w:rPr>
              <w:t>医疗器械质量管理体系认证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456" w:type="dxa"/>
          </w:tcPr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</w:t>
            </w:r>
          </w:p>
        </w:tc>
        <w:tc>
          <w:tcPr>
            <w:tcW w:w="1778" w:type="dxa"/>
          </w:tcPr>
          <w:p>
            <w:pPr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结构尺寸</w:t>
            </w:r>
          </w:p>
        </w:tc>
        <w:tc>
          <w:tcPr>
            <w:tcW w:w="7849" w:type="dxa"/>
          </w:tcPr>
          <w:p>
            <w:pPr>
              <w:tabs>
                <w:tab w:val="left" w:pos="3148"/>
              </w:tabs>
              <w:spacing w:line="36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全钢制结构 ，不锈钢离心腔</w:t>
            </w:r>
            <w:r>
              <w:rPr>
                <w:rFonts w:hint="eastAsia"/>
                <w:kern w:val="0"/>
                <w:sz w:val="24"/>
              </w:rPr>
              <w:t>，</w:t>
            </w:r>
            <w:r>
              <w:rPr>
                <w:kern w:val="0"/>
                <w:sz w:val="24"/>
              </w:rPr>
              <w:t>双层钢板防护</w:t>
            </w:r>
            <w:r>
              <w:rPr>
                <w:rFonts w:hint="eastAsia"/>
                <w:kern w:val="0"/>
                <w:sz w:val="24"/>
              </w:rPr>
              <w:t>；</w:t>
            </w:r>
            <w:r>
              <w:rPr>
                <w:kern w:val="0"/>
                <w:sz w:val="24"/>
              </w:rPr>
              <w:t>L×W×H</w:t>
            </w:r>
            <w:r>
              <w:rPr>
                <w:rFonts w:hint="eastAsia"/>
                <w:kern w:val="0"/>
                <w:sz w:val="24"/>
              </w:rPr>
              <w:t xml:space="preserve"> ≤</w:t>
            </w:r>
            <w:r>
              <w:rPr>
                <w:kern w:val="0"/>
                <w:sz w:val="24"/>
              </w:rPr>
              <w:t> 6</w:t>
            </w:r>
            <w:r>
              <w:rPr>
                <w:rFonts w:hint="eastAsia"/>
                <w:kern w:val="0"/>
                <w:sz w:val="24"/>
              </w:rPr>
              <w:t>5</w:t>
            </w:r>
            <w:r>
              <w:rPr>
                <w:kern w:val="0"/>
                <w:sz w:val="24"/>
              </w:rPr>
              <w:t>0×7</w:t>
            </w:r>
            <w:r>
              <w:rPr>
                <w:rFonts w:hint="eastAsia"/>
                <w:kern w:val="0"/>
                <w:sz w:val="24"/>
              </w:rPr>
              <w:t>5</w:t>
            </w:r>
            <w:r>
              <w:rPr>
                <w:kern w:val="0"/>
                <w:sz w:val="24"/>
              </w:rPr>
              <w:t>0×</w:t>
            </w:r>
            <w:r>
              <w:rPr>
                <w:rFonts w:hint="eastAsia"/>
                <w:kern w:val="0"/>
                <w:sz w:val="24"/>
              </w:rPr>
              <w:t>55</w:t>
            </w:r>
            <w:r>
              <w:rPr>
                <w:kern w:val="0"/>
                <w:sz w:val="24"/>
              </w:rPr>
              <w:t>0 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456" w:type="dxa"/>
          </w:tcPr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</w:t>
            </w:r>
          </w:p>
        </w:tc>
        <w:tc>
          <w:tcPr>
            <w:tcW w:w="1778" w:type="dxa"/>
          </w:tcPr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电机系统</w:t>
            </w:r>
          </w:p>
        </w:tc>
        <w:tc>
          <w:tcPr>
            <w:tcW w:w="7849" w:type="dxa"/>
          </w:tcPr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无碳刷交流变频电机驱动；磁感应门锁，电动开门。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456" w:type="dxa"/>
          </w:tcPr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4</w:t>
            </w:r>
          </w:p>
        </w:tc>
        <w:tc>
          <w:tcPr>
            <w:tcW w:w="1778" w:type="dxa"/>
          </w:tcPr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转速要求</w:t>
            </w:r>
          </w:p>
        </w:tc>
        <w:tc>
          <w:tcPr>
            <w:tcW w:w="7849" w:type="dxa"/>
          </w:tcPr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最高转速</w:t>
            </w:r>
            <w:r>
              <w:rPr>
                <w:kern w:val="0"/>
                <w:sz w:val="24"/>
              </w:rPr>
              <w:t>4</w:t>
            </w:r>
            <w:r>
              <w:rPr>
                <w:rFonts w:hint="eastAsia"/>
                <w:kern w:val="0"/>
                <w:sz w:val="24"/>
              </w:rPr>
              <w:t>0</w:t>
            </w:r>
            <w:r>
              <w:rPr>
                <w:kern w:val="0"/>
                <w:sz w:val="24"/>
              </w:rPr>
              <w:t>00r/min</w:t>
            </w:r>
            <w:r>
              <w:rPr>
                <w:rFonts w:hint="eastAsia"/>
                <w:kern w:val="0"/>
                <w:sz w:val="24"/>
              </w:rPr>
              <w:t>； 最大相对离心力：</w:t>
            </w:r>
            <w:r>
              <w:rPr>
                <w:kern w:val="0"/>
                <w:sz w:val="24"/>
              </w:rPr>
              <w:t> </w:t>
            </w:r>
            <w:r>
              <w:rPr>
                <w:rFonts w:hint="eastAsia"/>
                <w:kern w:val="0"/>
                <w:sz w:val="24"/>
              </w:rPr>
              <w:t>3387</w:t>
            </w:r>
            <w:r>
              <w:rPr>
                <w:kern w:val="0"/>
                <w:sz w:val="24"/>
              </w:rPr>
              <w:t>×g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456" w:type="dxa"/>
          </w:tcPr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1778" w:type="dxa"/>
          </w:tcPr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转速精度</w:t>
            </w:r>
          </w:p>
        </w:tc>
        <w:tc>
          <w:tcPr>
            <w:tcW w:w="7849" w:type="dxa"/>
          </w:tcPr>
          <w:p>
            <w:pPr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±10r/min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456" w:type="dxa"/>
          </w:tcPr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6</w:t>
            </w:r>
          </w:p>
        </w:tc>
        <w:tc>
          <w:tcPr>
            <w:tcW w:w="1778" w:type="dxa"/>
          </w:tcPr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color w:val="FF0000"/>
                <w:kern w:val="0"/>
                <w:sz w:val="24"/>
              </w:rPr>
              <w:t>★</w:t>
            </w:r>
            <w:r>
              <w:rPr>
                <w:rFonts w:hint="eastAsia"/>
                <w:kern w:val="0"/>
                <w:sz w:val="24"/>
              </w:rPr>
              <w:t>转子配置</w:t>
            </w:r>
          </w:p>
        </w:tc>
        <w:tc>
          <w:tcPr>
            <w:tcW w:w="7849" w:type="dxa"/>
          </w:tcPr>
          <w:p>
            <w:pPr>
              <w:tabs>
                <w:tab w:val="left" w:pos="3148"/>
              </w:tabs>
              <w:spacing w:line="36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5ml×</w:t>
            </w:r>
            <w:r>
              <w:rPr>
                <w:rFonts w:hint="eastAsia"/>
                <w:kern w:val="0"/>
                <w:sz w:val="24"/>
              </w:rPr>
              <w:t>9</w:t>
            </w:r>
            <w:r>
              <w:rPr>
                <w:kern w:val="0"/>
                <w:sz w:val="24"/>
              </w:rPr>
              <w:t>6</w:t>
            </w:r>
            <w:r>
              <w:rPr>
                <w:rFonts w:hint="eastAsia"/>
                <w:kern w:val="0"/>
                <w:sz w:val="24"/>
              </w:rPr>
              <w:t>真空采血管（标配吊杯）；转子吊杯带风盾（必备）。</w:t>
            </w:r>
          </w:p>
          <w:p>
            <w:pPr>
              <w:tabs>
                <w:tab w:val="left" w:pos="3148"/>
              </w:tabs>
              <w:spacing w:line="36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148×5ml</w:t>
            </w:r>
            <w:r>
              <w:rPr>
                <w:rFonts w:hint="eastAsia"/>
                <w:kern w:val="0"/>
                <w:sz w:val="24"/>
              </w:rPr>
              <w:t xml:space="preserve"> 真空采血管（可选配蜂窝吊杯）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456" w:type="dxa"/>
          </w:tcPr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7</w:t>
            </w:r>
          </w:p>
        </w:tc>
        <w:tc>
          <w:tcPr>
            <w:tcW w:w="1778" w:type="dxa"/>
          </w:tcPr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定时范围</w:t>
            </w:r>
          </w:p>
        </w:tc>
        <w:tc>
          <w:tcPr>
            <w:tcW w:w="7849" w:type="dxa"/>
          </w:tcPr>
          <w:p>
            <w:pPr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  <w:r>
              <w:rPr>
                <w:rFonts w:hint="eastAsia"/>
                <w:kern w:val="0"/>
                <w:sz w:val="24"/>
              </w:rPr>
              <w:t>～</w:t>
            </w:r>
            <w:r>
              <w:rPr>
                <w:kern w:val="0"/>
                <w:sz w:val="24"/>
              </w:rPr>
              <w:t>99min/</w:t>
            </w:r>
            <w:r>
              <w:rPr>
                <w:rFonts w:hint="eastAsia"/>
                <w:kern w:val="0"/>
                <w:sz w:val="24"/>
              </w:rPr>
              <w:t>连续离心；</w:t>
            </w:r>
            <w:r>
              <w:rPr>
                <w:kern w:val="0"/>
                <w:sz w:val="24"/>
              </w:rPr>
              <w:t>运行中可随时更改参数，无需停机</w:t>
            </w:r>
            <w:r>
              <w:rPr>
                <w:rFonts w:hint="eastAsia"/>
                <w:kern w:val="0"/>
                <w:sz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456" w:type="dxa"/>
          </w:tcPr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8</w:t>
            </w:r>
          </w:p>
        </w:tc>
        <w:tc>
          <w:tcPr>
            <w:tcW w:w="1778" w:type="dxa"/>
          </w:tcPr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color w:val="FF0000"/>
                <w:kern w:val="0"/>
                <w:sz w:val="24"/>
              </w:rPr>
              <w:t>★</w:t>
            </w:r>
            <w:r>
              <w:rPr>
                <w:rFonts w:hint="eastAsia"/>
                <w:kern w:val="0"/>
                <w:sz w:val="24"/>
              </w:rPr>
              <w:t>噪音：</w:t>
            </w:r>
          </w:p>
        </w:tc>
        <w:tc>
          <w:tcPr>
            <w:tcW w:w="7849" w:type="dxa"/>
          </w:tcPr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≤65</w:t>
            </w:r>
            <w:r>
              <w:rPr>
                <w:kern w:val="0"/>
                <w:sz w:val="24"/>
              </w:rPr>
              <w:t xml:space="preserve"> dB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456" w:type="dxa"/>
          </w:tcPr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9</w:t>
            </w:r>
          </w:p>
        </w:tc>
        <w:tc>
          <w:tcPr>
            <w:tcW w:w="1778" w:type="dxa"/>
          </w:tcPr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温升指标</w:t>
            </w:r>
          </w:p>
        </w:tc>
        <w:tc>
          <w:tcPr>
            <w:tcW w:w="7849" w:type="dxa"/>
          </w:tcPr>
          <w:p>
            <w:pPr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≤10</w:t>
            </w:r>
            <w:r>
              <w:rPr>
                <w:rFonts w:hint="eastAsia"/>
                <w:kern w:val="0"/>
                <w:sz w:val="24"/>
              </w:rPr>
              <w:t>℃（运行</w:t>
            </w:r>
            <w:r>
              <w:rPr>
                <w:kern w:val="0"/>
                <w:sz w:val="24"/>
              </w:rPr>
              <w:t>20</w:t>
            </w:r>
            <w:r>
              <w:rPr>
                <w:rFonts w:hint="eastAsia"/>
                <w:kern w:val="0"/>
                <w:sz w:val="24"/>
              </w:rPr>
              <w:t>分钟）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456" w:type="dxa"/>
          </w:tcPr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</w:t>
            </w:r>
          </w:p>
        </w:tc>
        <w:tc>
          <w:tcPr>
            <w:tcW w:w="1778" w:type="dxa"/>
          </w:tcPr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自平衡功能</w:t>
            </w:r>
          </w:p>
        </w:tc>
        <w:tc>
          <w:tcPr>
            <w:tcW w:w="7849" w:type="dxa"/>
          </w:tcPr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自动平衡，无需配平，不平衡偏重最大可达</w:t>
            </w:r>
            <w:r>
              <w:rPr>
                <w:kern w:val="0"/>
                <w:sz w:val="24"/>
              </w:rPr>
              <w:t>30</w:t>
            </w:r>
            <w:r>
              <w:rPr>
                <w:rFonts w:hint="eastAsia"/>
                <w:kern w:val="0"/>
                <w:sz w:val="24"/>
              </w:rPr>
              <w:t>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456" w:type="dxa"/>
          </w:tcPr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11</w:t>
            </w:r>
          </w:p>
        </w:tc>
        <w:tc>
          <w:tcPr>
            <w:tcW w:w="1778" w:type="dxa"/>
            <w:vAlign w:val="center"/>
          </w:tcPr>
          <w:p>
            <w:pPr>
              <w:tabs>
                <w:tab w:val="left" w:pos="495"/>
              </w:tabs>
              <w:autoSpaceDE w:val="0"/>
              <w:autoSpaceDN w:val="0"/>
              <w:adjustRightInd w:val="0"/>
              <w:spacing w:line="5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校准维修</w:t>
            </w:r>
          </w:p>
        </w:tc>
        <w:tc>
          <w:tcPr>
            <w:tcW w:w="7849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提供年度定期校准服务、并出具规范的校准报告。</w:t>
            </w:r>
          </w:p>
          <w:p>
            <w:pPr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故障报修在12小时内响应，24小时内现场维修。</w:t>
            </w:r>
          </w:p>
        </w:tc>
      </w:tr>
    </w:tbl>
    <w:p/>
    <w:p>
      <w:pPr>
        <w:rPr>
          <w:rFonts w:ascii="黑体" w:hAnsi="黑体" w:eastAsia="黑体"/>
          <w:color w:val="FF0000"/>
          <w:sz w:val="32"/>
          <w:szCs w:val="32"/>
        </w:rPr>
      </w:pPr>
      <w:r>
        <w:rPr>
          <w:rFonts w:hint="eastAsia" w:ascii="黑体" w:hAnsi="黑体" w:eastAsia="黑体"/>
          <w:color w:val="FF0000"/>
          <w:sz w:val="32"/>
          <w:szCs w:val="32"/>
        </w:rPr>
        <w:t>备注：质保3年</w:t>
      </w:r>
    </w:p>
    <w:sectPr>
      <w:pgSz w:w="11906" w:h="16838"/>
      <w:pgMar w:top="1865" w:right="1230" w:bottom="1865" w:left="1230" w:header="720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M0NmNiOTdkZTAwZDQ2YjAzNjA5ZjU0YWJkOGY5MzAifQ=="/>
  </w:docVars>
  <w:rsids>
    <w:rsidRoot w:val="00216A35"/>
    <w:rsid w:val="001E21B6"/>
    <w:rsid w:val="00216A35"/>
    <w:rsid w:val="002E3152"/>
    <w:rsid w:val="00306CD1"/>
    <w:rsid w:val="004918C9"/>
    <w:rsid w:val="00495F02"/>
    <w:rsid w:val="004E2C10"/>
    <w:rsid w:val="006A7478"/>
    <w:rsid w:val="006F58F3"/>
    <w:rsid w:val="00814A85"/>
    <w:rsid w:val="008D5AB3"/>
    <w:rsid w:val="009061E7"/>
    <w:rsid w:val="00B07F56"/>
    <w:rsid w:val="00C22E79"/>
    <w:rsid w:val="00CD485F"/>
    <w:rsid w:val="00D1619B"/>
    <w:rsid w:val="00DA4411"/>
    <w:rsid w:val="00ED1C76"/>
    <w:rsid w:val="593E694C"/>
    <w:rsid w:val="7E572F5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65</Words>
  <Characters>375</Characters>
  <Lines>3</Lines>
  <Paragraphs>1</Paragraphs>
  <TotalTime>47</TotalTime>
  <ScaleCrop>false</ScaleCrop>
  <LinksUpToDate>false</LinksUpToDate>
  <CharactersWithSpaces>439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2023-11-13T06:50:00Z</dcterms:created>
  <dc:creator>松 贺</dc:creator>
  <cp:lastModifiedBy>刘建民</cp:lastModifiedBy>
  <dcterms:modified xsi:type="dcterms:W3CDTF">2023-11-15T01:28:43Z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B61B7FFA68AC4F32BEA70028EFC60382_12</vt:lpwstr>
  </property>
</Properties>
</file>