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 w:lineRule="atLeast"/>
        <w:ind w:firstLine="1446" w:firstLineChars="400"/>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马鞍山市人民医院东院2期21台</w:t>
      </w:r>
    </w:p>
    <w:p>
      <w:pPr>
        <w:spacing w:line="100" w:lineRule="atLeast"/>
        <w:ind w:firstLine="2530" w:firstLineChars="700"/>
        <w:rPr>
          <w:rFonts w:ascii="仿宋_GB2312" w:hAnsi="仿宋_GB2312" w:eastAsia="仿宋_GB2312" w:cs="仿宋_GB2312"/>
          <w:b/>
          <w:bCs/>
          <w:spacing w:val="-14"/>
          <w:sz w:val="36"/>
          <w:szCs w:val="36"/>
        </w:rPr>
      </w:pPr>
      <w:r>
        <w:rPr>
          <w:rFonts w:hint="eastAsia" w:ascii="仿宋_GB2312" w:hAnsi="仿宋_GB2312" w:eastAsia="仿宋_GB2312" w:cs="仿宋_GB2312"/>
          <w:b/>
          <w:bCs/>
          <w:sz w:val="36"/>
          <w:szCs w:val="36"/>
        </w:rPr>
        <w:t>电梯维保</w:t>
      </w:r>
      <w:r>
        <w:rPr>
          <w:rFonts w:hint="eastAsia" w:ascii="仿宋_GB2312" w:hAnsi="仿宋_GB2312" w:eastAsia="仿宋_GB2312" w:cs="仿宋_GB2312"/>
          <w:b/>
          <w:bCs/>
          <w:spacing w:val="-14"/>
          <w:sz w:val="36"/>
          <w:szCs w:val="36"/>
        </w:rPr>
        <w:t>服务要求</w:t>
      </w:r>
    </w:p>
    <w:p>
      <w:pPr>
        <w:spacing w:line="480" w:lineRule="exact"/>
        <w:rPr>
          <w:rFonts w:ascii="黑体" w:eastAsia="黑体"/>
          <w:b/>
          <w:sz w:val="30"/>
          <w:szCs w:val="30"/>
        </w:rPr>
      </w:pPr>
    </w:p>
    <w:p>
      <w:pPr>
        <w:rPr>
          <w:rFonts w:ascii="宋体" w:hAnsi="宋体" w:cs="宋体"/>
          <w:sz w:val="24"/>
        </w:rPr>
      </w:pPr>
      <w:bookmarkStart w:id="0" w:name="_GoBack"/>
      <w:r>
        <w:rPr>
          <w:rFonts w:hint="eastAsia" w:ascii="宋体" w:hAnsi="宋体" w:cs="宋体"/>
          <w:sz w:val="24"/>
        </w:rPr>
        <w:t xml:space="preserve"> </w:t>
      </w:r>
      <w:r>
        <w:rPr>
          <w:rFonts w:hint="eastAsia" w:ascii="宋体" w:hAnsi="宋体" w:cs="宋体"/>
          <w:b/>
          <w:bCs/>
          <w:sz w:val="24"/>
        </w:rPr>
        <w:t>一、情况说明</w:t>
      </w:r>
      <w:r>
        <w:rPr>
          <w:rFonts w:hint="eastAsia" w:ascii="宋体" w:hAnsi="宋体" w:cs="宋体"/>
          <w:sz w:val="24"/>
        </w:rPr>
        <w:t>：人民医院东院2期21台电梯维保招标。</w:t>
      </w:r>
    </w:p>
    <w:p>
      <w:pPr>
        <w:ind w:firstLine="480" w:firstLineChars="200"/>
        <w:rPr>
          <w:rFonts w:ascii="宋体" w:hAnsi="宋体" w:cs="宋体"/>
          <w:sz w:val="24"/>
        </w:rPr>
      </w:pPr>
      <w:r>
        <w:rPr>
          <w:rFonts w:hint="eastAsia" w:ascii="宋体" w:hAnsi="宋体" w:cs="宋体"/>
          <w:sz w:val="24"/>
        </w:rPr>
        <w:t xml:space="preserve">          </w:t>
      </w:r>
      <w:r>
        <w:rPr>
          <w:rFonts w:hint="eastAsia" w:ascii="宋体" w:hAnsi="宋体" w:cs="宋体"/>
          <w:b/>
          <w:bCs/>
          <w:sz w:val="24"/>
        </w:rPr>
        <w:t xml:space="preserve"> （一）评标办法及金额年限</w:t>
      </w:r>
    </w:p>
    <w:p>
      <w:pPr>
        <w:pStyle w:val="15"/>
        <w:ind w:firstLine="0" w:firstLineChars="0"/>
        <w:rPr>
          <w:rFonts w:ascii="宋体" w:hAnsi="宋体" w:cs="宋体"/>
          <w:sz w:val="24"/>
        </w:rPr>
      </w:pPr>
      <w:r>
        <w:rPr>
          <w:rFonts w:hint="eastAsia" w:ascii="宋体" w:hAnsi="宋体" w:cs="宋体"/>
          <w:b/>
          <w:bCs/>
          <w:sz w:val="24"/>
        </w:rPr>
        <w:t>1、评标办法</w:t>
      </w:r>
      <w:r>
        <w:rPr>
          <w:rFonts w:hint="eastAsia" w:ascii="宋体" w:hAnsi="宋体" w:cs="宋体"/>
          <w:sz w:val="24"/>
        </w:rPr>
        <w:t>：竞争性磋商。</w:t>
      </w:r>
    </w:p>
    <w:p>
      <w:pPr>
        <w:spacing w:line="480" w:lineRule="exact"/>
        <w:rPr>
          <w:rFonts w:ascii="宋体" w:hAnsi="宋体" w:cs="宋体"/>
          <w:sz w:val="24"/>
        </w:rPr>
      </w:pPr>
      <w:r>
        <w:rPr>
          <w:rFonts w:hint="eastAsia" w:ascii="宋体" w:hAnsi="宋体" w:cs="宋体"/>
          <w:b/>
          <w:bCs/>
          <w:sz w:val="24"/>
        </w:rPr>
        <w:t>2、项目控制金额</w:t>
      </w:r>
      <w:r>
        <w:rPr>
          <w:rFonts w:hint="eastAsia" w:ascii="宋体" w:hAnsi="宋体" w:cs="宋体"/>
          <w:sz w:val="24"/>
        </w:rPr>
        <w:t>：8.4万元/年（</w:t>
      </w:r>
      <w:r>
        <w:rPr>
          <w:rFonts w:hint="eastAsia" w:ascii="宋体" w:hAnsi="宋体" w:cs="宋体"/>
          <w:b/>
          <w:bCs/>
          <w:sz w:val="24"/>
        </w:rPr>
        <w:t>（中标日开始为期一年）</w:t>
      </w:r>
      <w:r>
        <w:rPr>
          <w:rFonts w:hint="eastAsia" w:ascii="宋体" w:hAnsi="宋体" w:cs="宋体"/>
          <w:sz w:val="24"/>
        </w:rPr>
        <w:t>。</w:t>
      </w:r>
    </w:p>
    <w:p>
      <w:pPr>
        <w:spacing w:line="480" w:lineRule="exact"/>
        <w:rPr>
          <w:rFonts w:ascii="宋体" w:hAnsi="宋体" w:cs="宋体"/>
          <w:sz w:val="24"/>
        </w:rPr>
      </w:pPr>
      <w:r>
        <w:rPr>
          <w:rFonts w:hint="eastAsia" w:ascii="宋体" w:hAnsi="宋体" w:cs="宋体"/>
          <w:b/>
          <w:bCs/>
          <w:sz w:val="24"/>
        </w:rPr>
        <w:t>3、项目控制年限</w:t>
      </w:r>
      <w:r>
        <w:rPr>
          <w:rFonts w:hint="eastAsia" w:ascii="宋体" w:hAnsi="宋体" w:cs="宋体"/>
          <w:sz w:val="24"/>
        </w:rPr>
        <w:t xml:space="preserve">：一年。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9"/>
        <w:gridCol w:w="2640"/>
        <w:gridCol w:w="3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9" w:type="dxa"/>
          </w:tcPr>
          <w:p>
            <w:pPr>
              <w:rPr>
                <w:rFonts w:ascii="宋体" w:hAnsi="宋体" w:cs="宋体"/>
                <w:b/>
                <w:bCs/>
                <w:sz w:val="24"/>
              </w:rPr>
            </w:pPr>
            <w:r>
              <w:rPr>
                <w:rFonts w:hint="eastAsia" w:ascii="宋体" w:hAnsi="宋体" w:cs="宋体"/>
                <w:b/>
                <w:bCs/>
                <w:sz w:val="24"/>
              </w:rPr>
              <w:t>区域</w:t>
            </w:r>
          </w:p>
        </w:tc>
        <w:tc>
          <w:tcPr>
            <w:tcW w:w="2640" w:type="dxa"/>
          </w:tcPr>
          <w:p>
            <w:pPr>
              <w:rPr>
                <w:rFonts w:ascii="宋体" w:hAnsi="宋体" w:cs="宋体"/>
                <w:b/>
                <w:bCs/>
                <w:sz w:val="24"/>
              </w:rPr>
            </w:pPr>
            <w:r>
              <w:rPr>
                <w:rFonts w:hint="eastAsia" w:ascii="宋体" w:hAnsi="宋体" w:cs="宋体"/>
                <w:b/>
                <w:bCs/>
                <w:sz w:val="24"/>
              </w:rPr>
              <w:t>电梯台数</w:t>
            </w:r>
          </w:p>
        </w:tc>
        <w:tc>
          <w:tcPr>
            <w:tcW w:w="3225" w:type="dxa"/>
          </w:tcPr>
          <w:p>
            <w:pPr>
              <w:rPr>
                <w:rFonts w:ascii="宋体" w:hAnsi="宋体" w:cs="宋体"/>
                <w:b/>
                <w:bCs/>
                <w:sz w:val="24"/>
              </w:rPr>
            </w:pPr>
            <w:r>
              <w:rPr>
                <w:rFonts w:hint="eastAsia" w:ascii="宋体" w:hAnsi="宋体" w:cs="宋体"/>
                <w:b/>
                <w:bCs/>
                <w:sz w:val="24"/>
              </w:rPr>
              <w:t>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9" w:type="dxa"/>
          </w:tcPr>
          <w:p>
            <w:pPr>
              <w:rPr>
                <w:rFonts w:ascii="宋体" w:hAnsi="宋体" w:cs="宋体"/>
                <w:b/>
                <w:bCs/>
                <w:sz w:val="24"/>
              </w:rPr>
            </w:pPr>
            <w:r>
              <w:rPr>
                <w:rFonts w:hint="eastAsia" w:ascii="宋体" w:hAnsi="宋体" w:cs="宋体"/>
                <w:b/>
                <w:bCs/>
                <w:sz w:val="24"/>
              </w:rPr>
              <w:t>东院（2期）</w:t>
            </w:r>
          </w:p>
        </w:tc>
        <w:tc>
          <w:tcPr>
            <w:tcW w:w="2640" w:type="dxa"/>
          </w:tcPr>
          <w:p>
            <w:pPr>
              <w:rPr>
                <w:rFonts w:ascii="宋体" w:hAnsi="宋体" w:cs="宋体"/>
                <w:b/>
                <w:bCs/>
                <w:sz w:val="24"/>
              </w:rPr>
            </w:pPr>
            <w:r>
              <w:rPr>
                <w:rFonts w:hint="eastAsia" w:ascii="宋体" w:hAnsi="宋体" w:cs="宋体"/>
                <w:b/>
                <w:bCs/>
                <w:sz w:val="24"/>
              </w:rPr>
              <w:t>21台</w:t>
            </w:r>
          </w:p>
        </w:tc>
        <w:tc>
          <w:tcPr>
            <w:tcW w:w="3225" w:type="dxa"/>
          </w:tcPr>
          <w:p>
            <w:pPr>
              <w:rPr>
                <w:rFonts w:ascii="宋体" w:hAnsi="宋体" w:cs="宋体"/>
                <w:b/>
                <w:bCs/>
                <w:sz w:val="24"/>
              </w:rPr>
            </w:pPr>
            <w:r>
              <w:rPr>
                <w:rFonts w:hint="eastAsia" w:ascii="宋体" w:hAnsi="宋体" w:cs="宋体"/>
                <w:b/>
                <w:bCs/>
                <w:sz w:val="24"/>
              </w:rPr>
              <w:t>奥的斯电梯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8664" w:type="dxa"/>
            <w:gridSpan w:val="3"/>
          </w:tcPr>
          <w:p>
            <w:pPr>
              <w:ind w:firstLine="2409" w:firstLineChars="1000"/>
              <w:rPr>
                <w:rFonts w:ascii="宋体" w:hAnsi="宋体" w:cs="宋体"/>
                <w:b/>
                <w:bCs/>
                <w:sz w:val="24"/>
              </w:rPr>
            </w:pPr>
            <w:r>
              <w:rPr>
                <w:rFonts w:hint="eastAsia" w:ascii="宋体" w:hAnsi="宋体" w:cs="宋体"/>
                <w:b/>
                <w:bCs/>
                <w:sz w:val="24"/>
              </w:rPr>
              <w:t>具体参数见附件1</w:t>
            </w:r>
          </w:p>
        </w:tc>
      </w:tr>
    </w:tbl>
    <w:p>
      <w:pPr>
        <w:spacing w:line="480" w:lineRule="exact"/>
        <w:rPr>
          <w:rFonts w:ascii="宋体" w:hAnsi="宋体" w:cs="宋体"/>
          <w:sz w:val="24"/>
        </w:rPr>
      </w:pPr>
    </w:p>
    <w:p>
      <w:pPr>
        <w:spacing w:line="100" w:lineRule="atLeast"/>
        <w:ind w:firstLine="1491" w:firstLineChars="700"/>
        <w:rPr>
          <w:rFonts w:ascii="宋体" w:hAnsi="宋体" w:cs="宋体"/>
          <w:b/>
          <w:bCs/>
          <w:spacing w:val="-14"/>
          <w:sz w:val="24"/>
        </w:rPr>
      </w:pPr>
      <w:r>
        <w:rPr>
          <w:rFonts w:hint="eastAsia" w:ascii="宋体" w:hAnsi="宋体" w:cs="宋体"/>
          <w:b/>
          <w:bCs/>
          <w:spacing w:val="-14"/>
          <w:sz w:val="24"/>
        </w:rPr>
        <w:t>（ 二）服务要求</w:t>
      </w:r>
    </w:p>
    <w:p>
      <w:pPr>
        <w:spacing w:line="100" w:lineRule="atLeast"/>
        <w:rPr>
          <w:rFonts w:ascii="宋体" w:hAnsi="宋体" w:cs="宋体"/>
          <w:sz w:val="24"/>
        </w:rPr>
      </w:pPr>
    </w:p>
    <w:p>
      <w:pPr>
        <w:widowControl/>
        <w:spacing w:line="460" w:lineRule="exact"/>
        <w:rPr>
          <w:rFonts w:ascii="宋体" w:hAnsi="宋体" w:cs="宋体"/>
          <w:b/>
          <w:sz w:val="24"/>
        </w:rPr>
      </w:pPr>
      <w:r>
        <w:rPr>
          <w:rFonts w:hint="eastAsia" w:ascii="宋体" w:hAnsi="宋体" w:cs="宋体"/>
          <w:sz w:val="24"/>
        </w:rPr>
        <w:t>一、</w:t>
      </w:r>
      <w:r>
        <w:rPr>
          <w:rFonts w:hint="eastAsia" w:ascii="宋体" w:hAnsi="宋体" w:cs="宋体"/>
          <w:b/>
          <w:sz w:val="24"/>
        </w:rPr>
        <w:t>投标人资质</w:t>
      </w:r>
    </w:p>
    <w:p>
      <w:pPr>
        <w:spacing w:line="460" w:lineRule="exact"/>
        <w:rPr>
          <w:rFonts w:ascii="宋体" w:hAnsi="宋体" w:cs="宋体"/>
          <w:sz w:val="24"/>
        </w:rPr>
      </w:pPr>
      <w:r>
        <w:rPr>
          <w:rFonts w:hint="eastAsia" w:ascii="宋体" w:hAnsi="宋体" w:cs="宋体"/>
          <w:sz w:val="24"/>
        </w:rPr>
        <w:t xml:space="preserve"> 1、投报单位必须是经中华人民共和国工商、税务登记注册的独立法人</w:t>
      </w:r>
      <w:r>
        <w:rPr>
          <w:rFonts w:hint="eastAsia" w:ascii="宋体" w:hAnsi="宋体" w:cs="宋体"/>
          <w:sz w:val="24"/>
          <w:highlight w:val="yellow"/>
        </w:rPr>
        <w:t>或总公司授权的分公司；</w:t>
      </w:r>
    </w:p>
    <w:p>
      <w:pPr>
        <w:spacing w:line="460" w:lineRule="exact"/>
        <w:ind w:firstLine="117" w:firstLineChars="49"/>
        <w:rPr>
          <w:rFonts w:ascii="宋体" w:hAnsi="宋体" w:cs="宋体"/>
          <w:sz w:val="24"/>
        </w:rPr>
      </w:pPr>
      <w:r>
        <w:rPr>
          <w:rFonts w:hint="eastAsia" w:ascii="宋体" w:hAnsi="宋体" w:cs="宋体"/>
          <w:sz w:val="24"/>
        </w:rPr>
        <w:t>2、具有</w:t>
      </w:r>
      <w:r>
        <w:rPr>
          <w:rFonts w:hint="eastAsia" w:ascii="宋体" w:hAnsi="宋体" w:cs="宋体"/>
          <w:sz w:val="24"/>
          <w:highlight w:val="yellow"/>
        </w:rPr>
        <w:t>企业营业执照</w:t>
      </w:r>
      <w:r>
        <w:rPr>
          <w:rFonts w:hint="eastAsia" w:ascii="宋体" w:hAnsi="宋体" w:cs="宋体"/>
          <w:sz w:val="24"/>
        </w:rPr>
        <w:t>；</w:t>
      </w:r>
    </w:p>
    <w:p>
      <w:pPr>
        <w:spacing w:line="460" w:lineRule="exact"/>
        <w:ind w:left="502" w:leftChars="70" w:hanging="355" w:hangingChars="148"/>
        <w:rPr>
          <w:rFonts w:ascii="宋体" w:hAnsi="宋体" w:cs="宋体"/>
          <w:sz w:val="24"/>
        </w:rPr>
      </w:pPr>
      <w:r>
        <w:rPr>
          <w:rFonts w:hint="eastAsia" w:ascii="宋体" w:hAnsi="宋体" w:cs="宋体"/>
          <w:sz w:val="24"/>
        </w:rPr>
        <w:t>3、具有税务登记证、组织机构代码证（若供应商提供了“三证合一”的新版营业执照，无需另行提供税务登记证）；</w:t>
      </w:r>
    </w:p>
    <w:p>
      <w:pPr>
        <w:spacing w:line="460" w:lineRule="exact"/>
        <w:ind w:firstLine="117" w:firstLineChars="49"/>
        <w:rPr>
          <w:rFonts w:ascii="宋体" w:hAnsi="宋体" w:cs="宋体"/>
          <w:sz w:val="24"/>
        </w:rPr>
      </w:pPr>
      <w:r>
        <w:rPr>
          <w:rFonts w:hint="eastAsia" w:ascii="宋体" w:hAnsi="宋体" w:cs="宋体"/>
          <w:sz w:val="24"/>
        </w:rPr>
        <w:t>4、法定代表人及被委托人身份证复印件；</w:t>
      </w:r>
    </w:p>
    <w:p>
      <w:pPr>
        <w:spacing w:line="460" w:lineRule="exact"/>
        <w:ind w:left="502" w:leftChars="70" w:hanging="355" w:hangingChars="148"/>
        <w:rPr>
          <w:rFonts w:ascii="宋体" w:hAnsi="宋体" w:cs="宋体"/>
          <w:sz w:val="24"/>
        </w:rPr>
      </w:pPr>
      <w:r>
        <w:rPr>
          <w:rFonts w:hint="eastAsia" w:ascii="宋体" w:hAnsi="宋体" w:cs="宋体"/>
          <w:sz w:val="24"/>
        </w:rPr>
        <w:t>5、法定代表人授权委托书（法定代表人递交投标文件参加投标的，无需此件）；</w:t>
      </w:r>
    </w:p>
    <w:p>
      <w:pPr>
        <w:tabs>
          <w:tab w:val="left" w:pos="1080"/>
        </w:tabs>
        <w:spacing w:line="480" w:lineRule="auto"/>
        <w:ind w:firstLine="240" w:firstLineChars="100"/>
        <w:rPr>
          <w:rFonts w:ascii="宋体" w:hAnsi="宋体" w:cs="宋体"/>
          <w:sz w:val="24"/>
        </w:rPr>
      </w:pPr>
      <w:r>
        <w:rPr>
          <w:rFonts w:hint="eastAsia" w:ascii="宋体" w:hAnsi="宋体" w:cs="宋体"/>
          <w:sz w:val="24"/>
        </w:rPr>
        <w:t>6、乙方单位需具有特种设备关于电梯维修、维保C级及以上资质,。电梯维护保养人员持有电梯维修项目《特种设备作业人员证》。</w:t>
      </w:r>
    </w:p>
    <w:p>
      <w:pPr>
        <w:tabs>
          <w:tab w:val="left" w:pos="1080"/>
        </w:tabs>
        <w:spacing w:line="440" w:lineRule="exact"/>
        <w:ind w:left="510" w:leftChars="75" w:hanging="352" w:hangingChars="147"/>
        <w:rPr>
          <w:rFonts w:ascii="宋体" w:hAnsi="宋体" w:cs="宋体"/>
          <w:sz w:val="24"/>
        </w:rPr>
      </w:pPr>
      <w:r>
        <w:rPr>
          <w:rFonts w:hint="eastAsia" w:ascii="宋体" w:hAnsi="宋体" w:cs="宋体"/>
          <w:sz w:val="24"/>
        </w:rPr>
        <w:t>7、乙方单位须信誉良好，近3年未发生安全事故和不良行为记录。</w:t>
      </w:r>
    </w:p>
    <w:p>
      <w:pPr>
        <w:widowControl/>
        <w:spacing w:line="460" w:lineRule="exact"/>
        <w:rPr>
          <w:rFonts w:ascii="宋体" w:hAnsi="宋体" w:cs="宋体"/>
          <w:sz w:val="24"/>
        </w:rPr>
      </w:pPr>
    </w:p>
    <w:p>
      <w:pPr>
        <w:tabs>
          <w:tab w:val="left" w:pos="900"/>
        </w:tabs>
        <w:spacing w:line="560" w:lineRule="exact"/>
        <w:rPr>
          <w:rFonts w:ascii="宋体" w:hAnsi="宋体" w:cs="宋体"/>
          <w:b/>
          <w:sz w:val="24"/>
        </w:rPr>
      </w:pPr>
      <w:r>
        <w:rPr>
          <w:rFonts w:hint="eastAsia" w:ascii="宋体" w:hAnsi="宋体" w:cs="宋体"/>
          <w:b/>
          <w:sz w:val="24"/>
        </w:rPr>
        <w:t>二、           服务范围、内容及相关要求</w:t>
      </w:r>
    </w:p>
    <w:p>
      <w:pPr>
        <w:tabs>
          <w:tab w:val="left" w:pos="900"/>
        </w:tabs>
        <w:spacing w:line="560" w:lineRule="exact"/>
        <w:jc w:val="center"/>
        <w:rPr>
          <w:rFonts w:ascii="宋体" w:hAnsi="宋体" w:cs="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维保服务项目技术要求</w:t>
      </w:r>
    </w:p>
    <w:p>
      <w:pPr>
        <w:spacing w:line="480" w:lineRule="auto"/>
        <w:rPr>
          <w:rFonts w:ascii="宋体" w:hAnsi="宋体" w:cs="宋体"/>
          <w:b/>
          <w:sz w:val="24"/>
        </w:rPr>
      </w:pPr>
      <w:r>
        <w:rPr>
          <w:rFonts w:hint="eastAsia" w:ascii="宋体" w:hAnsi="宋体" w:cs="宋体"/>
          <w:b/>
          <w:sz w:val="24"/>
        </w:rPr>
        <w:t>1、总体要求</w:t>
      </w:r>
    </w:p>
    <w:p>
      <w:pPr>
        <w:spacing w:line="480" w:lineRule="auto"/>
        <w:ind w:firstLine="360" w:firstLineChars="150"/>
        <w:rPr>
          <w:rFonts w:ascii="宋体" w:hAnsi="宋体" w:cs="宋体"/>
          <w:sz w:val="24"/>
        </w:rPr>
      </w:pPr>
      <w:r>
        <w:rPr>
          <w:rFonts w:hint="eastAsia" w:ascii="宋体" w:hAnsi="宋体" w:cs="宋体"/>
          <w:sz w:val="24"/>
        </w:rPr>
        <w:t>因本项条件为医院内部情况比较复杂请自行考察实际情况。</w:t>
      </w:r>
    </w:p>
    <w:p>
      <w:pPr>
        <w:spacing w:line="480" w:lineRule="auto"/>
        <w:ind w:firstLine="360" w:firstLineChars="150"/>
        <w:rPr>
          <w:rFonts w:ascii="宋体" w:hAnsi="宋体" w:cs="宋体"/>
          <w:sz w:val="24"/>
        </w:rPr>
      </w:pPr>
      <w:r>
        <w:rPr>
          <w:rFonts w:hint="eastAsia" w:ascii="宋体" w:hAnsi="宋体" w:cs="宋体"/>
          <w:sz w:val="24"/>
        </w:rPr>
        <w:t>依照国家和地方的行业规定，规范化开展维保工作，负责电梯设备、设施及电梯机房的维护和保养，确保全部设备良好运行，并达到以下要求：</w:t>
      </w:r>
    </w:p>
    <w:p>
      <w:pPr>
        <w:spacing w:line="480" w:lineRule="auto"/>
        <w:ind w:firstLine="360" w:firstLineChars="150"/>
        <w:rPr>
          <w:rFonts w:ascii="宋体" w:hAnsi="宋体" w:cs="宋体"/>
          <w:sz w:val="24"/>
        </w:rPr>
      </w:pPr>
      <w:r>
        <w:rPr>
          <w:rFonts w:hint="eastAsia" w:ascii="宋体" w:hAnsi="宋体" w:cs="宋体"/>
          <w:sz w:val="24"/>
        </w:rPr>
        <w:t>1.1各电梯设备、设施处于完整状态且正常、安全运转；</w:t>
      </w:r>
    </w:p>
    <w:p>
      <w:pPr>
        <w:spacing w:line="480" w:lineRule="auto"/>
        <w:ind w:firstLine="360" w:firstLineChars="150"/>
        <w:rPr>
          <w:rFonts w:ascii="宋体" w:hAnsi="宋体" w:cs="宋体"/>
          <w:sz w:val="24"/>
        </w:rPr>
      </w:pPr>
      <w:r>
        <w:rPr>
          <w:rFonts w:hint="eastAsia" w:ascii="宋体" w:hAnsi="宋体" w:cs="宋体"/>
          <w:sz w:val="24"/>
        </w:rPr>
        <w:t>1.2各电梯设备、设施功能符合相关部门的检查要求；</w:t>
      </w:r>
    </w:p>
    <w:p>
      <w:pPr>
        <w:spacing w:line="480" w:lineRule="auto"/>
        <w:ind w:firstLine="360" w:firstLineChars="150"/>
        <w:rPr>
          <w:rFonts w:ascii="宋体" w:hAnsi="宋体" w:cs="宋体"/>
          <w:sz w:val="24"/>
        </w:rPr>
      </w:pPr>
      <w:r>
        <w:rPr>
          <w:rFonts w:hint="eastAsia" w:ascii="宋体" w:hAnsi="宋体" w:cs="宋体"/>
          <w:sz w:val="24"/>
        </w:rPr>
        <w:t>1.3无安全事故发生。</w:t>
      </w:r>
    </w:p>
    <w:p>
      <w:pPr>
        <w:spacing w:line="480" w:lineRule="auto"/>
        <w:rPr>
          <w:rFonts w:ascii="宋体" w:hAnsi="宋体" w:cs="宋体"/>
          <w:b/>
          <w:sz w:val="24"/>
        </w:rPr>
      </w:pPr>
      <w:r>
        <w:rPr>
          <w:rFonts w:hint="eastAsia" w:ascii="宋体" w:hAnsi="宋体" w:cs="宋体"/>
          <w:b/>
          <w:color w:val="000000"/>
          <w:sz w:val="24"/>
        </w:rPr>
        <w:t>2、</w:t>
      </w:r>
      <w:r>
        <w:rPr>
          <w:rFonts w:hint="eastAsia" w:ascii="宋体" w:hAnsi="宋体" w:cs="宋体"/>
          <w:b/>
          <w:sz w:val="24"/>
        </w:rPr>
        <w:t>设备、设施的管理要求</w:t>
      </w:r>
    </w:p>
    <w:p>
      <w:pPr>
        <w:spacing w:line="480" w:lineRule="auto"/>
        <w:ind w:firstLine="360" w:firstLineChars="150"/>
        <w:rPr>
          <w:rFonts w:ascii="宋体" w:hAnsi="宋体" w:cs="宋体"/>
          <w:sz w:val="24"/>
        </w:rPr>
      </w:pPr>
      <w:r>
        <w:rPr>
          <w:rFonts w:hint="eastAsia" w:ascii="宋体" w:hAnsi="宋体" w:cs="宋体"/>
          <w:sz w:val="24"/>
        </w:rPr>
        <w:t>2.1投标人严格按照《电梯使用管理与维护保养规则》的日常维护保养项目（内容）和要求对电梯进行维护及保养。</w:t>
      </w:r>
    </w:p>
    <w:p>
      <w:pPr>
        <w:spacing w:line="480" w:lineRule="auto"/>
        <w:ind w:firstLine="360" w:firstLineChars="150"/>
        <w:rPr>
          <w:rFonts w:ascii="宋体" w:hAnsi="宋体" w:cs="宋体"/>
          <w:sz w:val="24"/>
        </w:rPr>
      </w:pPr>
      <w:r>
        <w:rPr>
          <w:rFonts w:hint="eastAsia" w:ascii="宋体" w:hAnsi="宋体" w:cs="宋体"/>
          <w:sz w:val="24"/>
        </w:rPr>
        <w:t>2.2投标人</w:t>
      </w:r>
      <w:r>
        <w:rPr>
          <w:rFonts w:hint="eastAsia" w:ascii="宋体" w:hAnsi="宋体" w:cs="宋体"/>
          <w:spacing w:val="4"/>
          <w:sz w:val="24"/>
        </w:rPr>
        <w:t xml:space="preserve">根据国家 </w:t>
      </w:r>
      <w:r>
        <w:rPr>
          <w:rFonts w:hint="eastAsia" w:ascii="宋体" w:hAnsi="宋体" w:cs="宋体"/>
          <w:spacing w:val="-4"/>
          <w:sz w:val="24"/>
        </w:rPr>
        <w:t>TSG</w:t>
      </w:r>
      <w:r>
        <w:rPr>
          <w:rFonts w:hint="eastAsia" w:ascii="宋体" w:hAnsi="宋体" w:cs="宋体"/>
          <w:spacing w:val="52"/>
          <w:sz w:val="24"/>
        </w:rPr>
        <w:t xml:space="preserve"> </w:t>
      </w:r>
      <w:r>
        <w:rPr>
          <w:rFonts w:hint="eastAsia" w:ascii="宋体" w:hAnsi="宋体" w:cs="宋体"/>
          <w:spacing w:val="-3"/>
          <w:sz w:val="24"/>
        </w:rPr>
        <w:t>T5002-2017</w:t>
      </w:r>
      <w:r>
        <w:rPr>
          <w:rFonts w:hint="eastAsia" w:ascii="宋体" w:hAnsi="宋体" w:cs="宋体"/>
          <w:spacing w:val="-9"/>
          <w:sz w:val="24"/>
        </w:rPr>
        <w:t>《电梯维护保养规则》的要求和电梯性能特点对</w:t>
      </w:r>
      <w:r>
        <w:rPr>
          <w:rFonts w:hint="eastAsia" w:ascii="宋体" w:hAnsi="宋体" w:cs="宋体"/>
          <w:spacing w:val="-14"/>
          <w:sz w:val="24"/>
        </w:rPr>
        <w:t>电梯设备进行每日巡查、半月保养，以及季度、半年度、年度保养（请参照</w:t>
      </w:r>
      <w:r>
        <w:rPr>
          <w:rFonts w:hint="eastAsia" w:ascii="宋体" w:hAnsi="宋体" w:cs="宋体"/>
          <w:spacing w:val="4"/>
          <w:sz w:val="24"/>
        </w:rPr>
        <w:t xml:space="preserve">国家 </w:t>
      </w:r>
      <w:r>
        <w:rPr>
          <w:rFonts w:hint="eastAsia" w:ascii="宋体" w:hAnsi="宋体" w:cs="宋体"/>
          <w:spacing w:val="-4"/>
          <w:sz w:val="24"/>
        </w:rPr>
        <w:t>TSG</w:t>
      </w:r>
      <w:r>
        <w:rPr>
          <w:rFonts w:hint="eastAsia" w:ascii="宋体" w:hAnsi="宋体" w:cs="宋体"/>
          <w:spacing w:val="52"/>
          <w:sz w:val="24"/>
        </w:rPr>
        <w:t xml:space="preserve"> </w:t>
      </w:r>
      <w:r>
        <w:rPr>
          <w:rFonts w:hint="eastAsia" w:ascii="宋体" w:hAnsi="宋体" w:cs="宋体"/>
          <w:spacing w:val="-3"/>
          <w:sz w:val="24"/>
        </w:rPr>
        <w:t>T5002-2017</w:t>
      </w:r>
      <w:r>
        <w:rPr>
          <w:rFonts w:hint="eastAsia" w:ascii="宋体" w:hAnsi="宋体" w:cs="宋体"/>
          <w:spacing w:val="-9"/>
          <w:sz w:val="24"/>
        </w:rPr>
        <w:t>《电梯维护保养规则》</w:t>
      </w:r>
      <w:r>
        <w:rPr>
          <w:rFonts w:hint="eastAsia" w:ascii="宋体" w:hAnsi="宋体" w:cs="宋体"/>
          <w:sz w:val="24"/>
        </w:rPr>
        <w:t>以确保电梯的正常运转。包括但不限于以下内容：</w:t>
      </w:r>
    </w:p>
    <w:p>
      <w:pPr>
        <w:spacing w:line="480" w:lineRule="auto"/>
        <w:ind w:firstLine="120" w:firstLineChars="50"/>
        <w:rPr>
          <w:rFonts w:ascii="宋体" w:hAnsi="宋体" w:cs="宋体"/>
          <w:sz w:val="24"/>
        </w:rPr>
      </w:pPr>
      <w:r>
        <w:rPr>
          <w:rFonts w:hint="eastAsia" w:ascii="宋体" w:hAnsi="宋体" w:cs="宋体"/>
          <w:sz w:val="24"/>
        </w:rPr>
        <w:t>（1）观察电梯的运行状况和检查异常噪音和运行故障；</w:t>
      </w:r>
    </w:p>
    <w:p>
      <w:pPr>
        <w:spacing w:line="480" w:lineRule="auto"/>
        <w:ind w:firstLine="120" w:firstLineChars="50"/>
        <w:rPr>
          <w:rFonts w:ascii="宋体" w:hAnsi="宋体" w:cs="宋体"/>
          <w:sz w:val="24"/>
        </w:rPr>
      </w:pPr>
      <w:r>
        <w:rPr>
          <w:rFonts w:hint="eastAsia" w:ascii="宋体" w:hAnsi="宋体" w:cs="宋体"/>
          <w:sz w:val="24"/>
        </w:rPr>
        <w:t>（2）开关键和按钮的功能测试；</w:t>
      </w:r>
    </w:p>
    <w:p>
      <w:pPr>
        <w:spacing w:line="480" w:lineRule="auto"/>
        <w:ind w:firstLine="120" w:firstLineChars="50"/>
        <w:rPr>
          <w:rFonts w:ascii="宋体" w:hAnsi="宋体" w:cs="宋体"/>
          <w:sz w:val="24"/>
        </w:rPr>
      </w:pPr>
      <w:r>
        <w:rPr>
          <w:rFonts w:hint="eastAsia" w:ascii="宋体" w:hAnsi="宋体" w:cs="宋体"/>
          <w:sz w:val="24"/>
        </w:rPr>
        <w:t>（3）检查磨损和异常噪音；</w:t>
      </w:r>
    </w:p>
    <w:p>
      <w:pPr>
        <w:spacing w:line="480" w:lineRule="auto"/>
        <w:ind w:firstLine="120" w:firstLineChars="50"/>
        <w:rPr>
          <w:rFonts w:ascii="宋体" w:hAnsi="宋体" w:cs="宋体"/>
          <w:sz w:val="24"/>
        </w:rPr>
      </w:pPr>
      <w:r>
        <w:rPr>
          <w:rFonts w:hint="eastAsia" w:ascii="宋体" w:hAnsi="宋体" w:cs="宋体"/>
          <w:sz w:val="24"/>
        </w:rPr>
        <w:t>（4）制动器和安全装置的功能测试；</w:t>
      </w:r>
    </w:p>
    <w:p>
      <w:pPr>
        <w:spacing w:line="480" w:lineRule="auto"/>
        <w:ind w:firstLine="120" w:firstLineChars="50"/>
        <w:rPr>
          <w:rFonts w:ascii="宋体" w:hAnsi="宋体" w:cs="宋体"/>
          <w:sz w:val="24"/>
        </w:rPr>
      </w:pPr>
      <w:r>
        <w:rPr>
          <w:rFonts w:hint="eastAsia" w:ascii="宋体" w:hAnsi="宋体" w:cs="宋体"/>
          <w:sz w:val="24"/>
        </w:rPr>
        <w:t>（5）检查控制设备和故障指示器；</w:t>
      </w:r>
    </w:p>
    <w:p>
      <w:pPr>
        <w:spacing w:line="480" w:lineRule="auto"/>
        <w:ind w:firstLine="120" w:firstLineChars="50"/>
        <w:rPr>
          <w:rFonts w:ascii="宋体" w:hAnsi="宋体" w:cs="宋体"/>
          <w:sz w:val="24"/>
        </w:rPr>
      </w:pPr>
      <w:r>
        <w:rPr>
          <w:rFonts w:hint="eastAsia" w:ascii="宋体" w:hAnsi="宋体" w:cs="宋体"/>
          <w:sz w:val="24"/>
        </w:rPr>
        <w:t>（6）全面清洁和润滑；</w:t>
      </w:r>
    </w:p>
    <w:p>
      <w:pPr>
        <w:spacing w:line="480" w:lineRule="auto"/>
        <w:ind w:firstLine="120" w:firstLineChars="50"/>
        <w:rPr>
          <w:rFonts w:ascii="宋体" w:hAnsi="宋体" w:cs="宋体"/>
          <w:bCs/>
          <w:sz w:val="24"/>
        </w:rPr>
      </w:pPr>
      <w:r>
        <w:rPr>
          <w:rFonts w:hint="eastAsia" w:ascii="宋体" w:hAnsi="宋体" w:cs="宋体"/>
          <w:bCs/>
          <w:sz w:val="24"/>
        </w:rPr>
        <w:t>（7）需要维护保养的其他部位和部件。</w:t>
      </w:r>
    </w:p>
    <w:p>
      <w:pPr>
        <w:spacing w:line="480" w:lineRule="auto"/>
        <w:rPr>
          <w:rFonts w:ascii="宋体" w:hAnsi="宋体" w:cs="宋体"/>
          <w:b/>
          <w:sz w:val="24"/>
        </w:rPr>
      </w:pPr>
      <w:r>
        <w:rPr>
          <w:rFonts w:hint="eastAsia" w:ascii="宋体" w:hAnsi="宋体" w:cs="宋体"/>
          <w:b/>
          <w:sz w:val="24"/>
        </w:rPr>
        <w:t>3、相关服务要求</w:t>
      </w:r>
    </w:p>
    <w:p>
      <w:pPr>
        <w:spacing w:line="480" w:lineRule="auto"/>
        <w:ind w:firstLine="360" w:firstLineChars="150"/>
        <w:rPr>
          <w:rFonts w:ascii="宋体" w:hAnsi="宋体" w:cs="宋体"/>
          <w:sz w:val="24"/>
        </w:rPr>
      </w:pPr>
      <w:r>
        <w:rPr>
          <w:rFonts w:hint="eastAsia" w:ascii="宋体" w:hAnsi="宋体" w:cs="宋体"/>
          <w:sz w:val="24"/>
        </w:rPr>
        <w:t>3.1维保方式：日常维护保养服务。</w:t>
      </w:r>
    </w:p>
    <w:p>
      <w:pPr>
        <w:spacing w:line="480" w:lineRule="auto"/>
        <w:ind w:firstLine="360" w:firstLineChars="150"/>
        <w:rPr>
          <w:rFonts w:ascii="宋体" w:hAnsi="宋体" w:cs="宋体"/>
          <w:sz w:val="24"/>
        </w:rPr>
      </w:pPr>
      <w:r>
        <w:rPr>
          <w:rFonts w:hint="eastAsia" w:ascii="宋体" w:hAnsi="宋体" w:cs="宋体"/>
          <w:sz w:val="24"/>
        </w:rPr>
        <w:t>3.2质量标准：符合国家相关要求，保证所有机组的正常运行。</w:t>
      </w:r>
    </w:p>
    <w:p>
      <w:pPr>
        <w:spacing w:line="480" w:lineRule="auto"/>
        <w:ind w:left="359" w:leftChars="171"/>
        <w:rPr>
          <w:rFonts w:ascii="宋体" w:hAnsi="宋体" w:cs="宋体"/>
          <w:sz w:val="24"/>
        </w:rPr>
      </w:pPr>
      <w:r>
        <w:rPr>
          <w:rFonts w:hint="eastAsia" w:ascii="宋体" w:hAnsi="宋体" w:cs="宋体"/>
          <w:sz w:val="24"/>
        </w:rPr>
        <w:t>3.3应在每部电梯年检期满前一个月，提醒并协助招标人申报电梯年检工作，保证所有电梯都能通过年检和办理相关手续（检测费用由招标人承担）。</w:t>
      </w:r>
    </w:p>
    <w:p>
      <w:pPr>
        <w:spacing w:line="480" w:lineRule="auto"/>
        <w:ind w:left="359" w:leftChars="171"/>
        <w:rPr>
          <w:rFonts w:ascii="宋体" w:hAnsi="宋体" w:cs="宋体"/>
          <w:bCs/>
          <w:sz w:val="24"/>
        </w:rPr>
      </w:pPr>
      <w:r>
        <w:rPr>
          <w:rFonts w:hint="eastAsia" w:ascii="宋体" w:hAnsi="宋体" w:cs="宋体"/>
          <w:sz w:val="24"/>
        </w:rPr>
        <w:t>3.4维保期内如遇相关部门开展对电梯设备的检查，则必须安排技术人员到现场配合检查，并配合做好电梯检验检测机构对电梯的定期检验工作。</w:t>
      </w:r>
    </w:p>
    <w:p>
      <w:pPr>
        <w:spacing w:line="480" w:lineRule="auto"/>
        <w:ind w:firstLine="360" w:firstLineChars="150"/>
        <w:rPr>
          <w:rFonts w:ascii="宋体" w:hAnsi="宋体" w:cs="宋体"/>
          <w:sz w:val="24"/>
        </w:rPr>
      </w:pPr>
      <w:r>
        <w:rPr>
          <w:rFonts w:hint="eastAsia" w:ascii="宋体" w:hAnsi="宋体" w:cs="宋体"/>
          <w:sz w:val="24"/>
        </w:rPr>
        <w:t xml:space="preserve">3.5投标人按照一台一档的要求建立电梯的维护保养记录。维保记录应包括电梯维护保养见证单、电梯维护保养急修见证单、电梯故障登记表等，于每月结束后及时将保养记录交给招标人相关部门。 </w:t>
      </w:r>
    </w:p>
    <w:p>
      <w:pPr>
        <w:tabs>
          <w:tab w:val="left" w:pos="1080"/>
        </w:tabs>
        <w:spacing w:line="480" w:lineRule="auto"/>
        <w:ind w:firstLine="360" w:firstLineChars="150"/>
        <w:rPr>
          <w:rFonts w:ascii="宋体" w:hAnsi="宋体" w:cs="宋体"/>
          <w:sz w:val="24"/>
        </w:rPr>
      </w:pPr>
      <w:r>
        <w:rPr>
          <w:rFonts w:hint="eastAsia" w:ascii="宋体" w:hAnsi="宋体" w:cs="宋体"/>
          <w:sz w:val="24"/>
        </w:rPr>
        <w:t>3.6投标人在维护保养中应严格执行国家安全技术规范，按照行业规定和电梯产品安装使用维护说明书的要求，制定维保方案，确保维护保养的电梯安全技术性能，始终贯彻“预防性保养”，确保故障消灭在萌芽状态。</w:t>
      </w:r>
    </w:p>
    <w:p>
      <w:pPr>
        <w:spacing w:line="480" w:lineRule="auto"/>
        <w:ind w:firstLine="360" w:firstLineChars="150"/>
        <w:rPr>
          <w:rFonts w:ascii="宋体" w:hAnsi="宋体" w:cs="宋体"/>
          <w:sz w:val="24"/>
        </w:rPr>
      </w:pPr>
      <w:r>
        <w:rPr>
          <w:rFonts w:hint="eastAsia" w:ascii="宋体" w:hAnsi="宋体" w:cs="宋体"/>
          <w:sz w:val="24"/>
        </w:rPr>
        <w:t>3.7设立一位电梯项目经理每半月和甲方一起巡检维保情况并记录在每日巡查本上。设立24小时维保值班电话，保证接到电梯故障通知后及时予以排除。电梯发生困人或常见故障时，维修人员必须在20分钟到场维修，紧急情况下，招标人直接拨打110求援，由110联动专业救援队伍进行救援（110救援内所有第三方费用由中标人承担）。</w:t>
      </w:r>
    </w:p>
    <w:p>
      <w:pPr>
        <w:spacing w:line="480" w:lineRule="auto"/>
        <w:ind w:firstLine="360" w:firstLineChars="150"/>
        <w:rPr>
          <w:rFonts w:ascii="宋体" w:hAnsi="宋体" w:cs="宋体"/>
          <w:sz w:val="24"/>
        </w:rPr>
      </w:pPr>
      <w:r>
        <w:rPr>
          <w:rFonts w:hint="eastAsia" w:ascii="宋体" w:hAnsi="宋体" w:cs="宋体"/>
          <w:sz w:val="24"/>
        </w:rPr>
        <w:t>3.8保养时设置现场安全警示标志,作业中应负责落实现场安全防护措施，保证作业安全。至少保证两人进入现场维护保养电梯，其中一人为安全检查人员。</w:t>
      </w:r>
    </w:p>
    <w:p>
      <w:pPr>
        <w:spacing w:line="480" w:lineRule="auto"/>
        <w:ind w:firstLine="360" w:firstLineChars="150"/>
        <w:rPr>
          <w:rFonts w:ascii="宋体" w:hAnsi="宋体" w:cs="宋体"/>
          <w:sz w:val="24"/>
        </w:rPr>
      </w:pPr>
      <w:r>
        <w:rPr>
          <w:rFonts w:hint="eastAsia" w:ascii="宋体" w:hAnsi="宋体" w:cs="宋体"/>
          <w:sz w:val="24"/>
        </w:rPr>
        <w:t>3.9制定应急措施和救援预案，针对委托单位维保电梯，每半年至少开展一次应急演练。</w:t>
      </w:r>
    </w:p>
    <w:p>
      <w:pPr>
        <w:spacing w:line="480" w:lineRule="auto"/>
        <w:ind w:firstLine="360" w:firstLineChars="150"/>
        <w:rPr>
          <w:rFonts w:ascii="宋体" w:hAnsi="宋体" w:cs="宋体"/>
          <w:sz w:val="24"/>
        </w:rPr>
      </w:pPr>
      <w:r>
        <w:rPr>
          <w:rFonts w:hint="eastAsia" w:ascii="宋体" w:hAnsi="宋体" w:cs="宋体"/>
          <w:sz w:val="24"/>
        </w:rPr>
        <w:t>3.10协助招标人制定电梯的安全管理制度和应急救援预案，并提供电梯操作的安全教育。</w:t>
      </w:r>
    </w:p>
    <w:p>
      <w:pPr>
        <w:spacing w:line="480" w:lineRule="auto"/>
        <w:ind w:firstLine="360" w:firstLineChars="150"/>
        <w:rPr>
          <w:rFonts w:ascii="宋体" w:hAnsi="宋体" w:cs="宋体"/>
          <w:sz w:val="24"/>
        </w:rPr>
      </w:pPr>
      <w:r>
        <w:rPr>
          <w:rFonts w:hint="eastAsia" w:ascii="宋体" w:hAnsi="宋体" w:cs="宋体"/>
          <w:sz w:val="24"/>
        </w:rPr>
        <w:t>3.11投标人每年至少对电梯进行一次全面检查，并向招标人出具检查报告。在维保过程中，发现事故隐患应及时书面告知招标人，并制定处理建议方案交招标人，同时协助招标人报告相关部门；</w:t>
      </w:r>
    </w:p>
    <w:p>
      <w:pPr>
        <w:spacing w:line="480" w:lineRule="auto"/>
        <w:ind w:firstLine="360" w:firstLineChars="150"/>
        <w:rPr>
          <w:rFonts w:ascii="宋体" w:hAnsi="宋体" w:cs="宋体"/>
          <w:sz w:val="24"/>
        </w:rPr>
      </w:pPr>
      <w:r>
        <w:rPr>
          <w:rFonts w:hint="eastAsia" w:ascii="宋体" w:hAnsi="宋体" w:cs="宋体"/>
          <w:sz w:val="24"/>
        </w:rPr>
        <w:t xml:space="preserve">3.12保养完毕后，将保养单交电梯安全管理人员签字认可，然后交到招标人确认。 </w:t>
      </w:r>
    </w:p>
    <w:p>
      <w:pPr>
        <w:spacing w:line="480" w:lineRule="auto"/>
        <w:ind w:firstLine="120" w:firstLineChars="50"/>
        <w:rPr>
          <w:rFonts w:ascii="宋体" w:hAnsi="宋体" w:cs="宋体"/>
          <w:b/>
          <w:sz w:val="24"/>
        </w:rPr>
      </w:pPr>
      <w:r>
        <w:rPr>
          <w:rFonts w:hint="eastAsia" w:ascii="宋体" w:hAnsi="宋体" w:cs="宋体"/>
          <w:b/>
          <w:sz w:val="24"/>
        </w:rPr>
        <w:t>4、对电梯维护保养人员的要求</w:t>
      </w:r>
    </w:p>
    <w:p>
      <w:pPr>
        <w:tabs>
          <w:tab w:val="left" w:pos="1080"/>
        </w:tabs>
        <w:spacing w:line="480" w:lineRule="auto"/>
        <w:ind w:left="479" w:leftChars="228"/>
        <w:rPr>
          <w:rFonts w:ascii="宋体" w:hAnsi="宋体" w:cs="宋体"/>
          <w:sz w:val="24"/>
        </w:rPr>
      </w:pPr>
      <w:r>
        <w:rPr>
          <w:rFonts w:hint="eastAsia" w:ascii="宋体" w:hAnsi="宋体" w:cs="宋体"/>
          <w:sz w:val="24"/>
        </w:rPr>
        <w:t>4.1电梯维护保养人员2人，持有电梯维修项目《特种设备作业人员证》，并通过培训和考核。</w:t>
      </w:r>
    </w:p>
    <w:p>
      <w:pPr>
        <w:tabs>
          <w:tab w:val="left" w:pos="1080"/>
        </w:tabs>
        <w:spacing w:line="480" w:lineRule="auto"/>
        <w:ind w:left="479" w:leftChars="228"/>
        <w:rPr>
          <w:rFonts w:ascii="宋体" w:hAnsi="宋体" w:cs="宋体"/>
          <w:sz w:val="24"/>
        </w:rPr>
      </w:pPr>
      <w:r>
        <w:rPr>
          <w:rFonts w:hint="eastAsia" w:ascii="宋体" w:hAnsi="宋体" w:cs="宋体"/>
          <w:sz w:val="24"/>
        </w:rPr>
        <w:t>4.2具备相关的专业知识和实际能力，熟悉业务，了解相关的法律法规和接受委托的电梯的性能和使用方法。</w:t>
      </w:r>
    </w:p>
    <w:p>
      <w:pPr>
        <w:tabs>
          <w:tab w:val="left" w:pos="1080"/>
        </w:tabs>
        <w:spacing w:line="480" w:lineRule="auto"/>
        <w:ind w:left="479" w:leftChars="228"/>
        <w:rPr>
          <w:rFonts w:ascii="宋体" w:hAnsi="宋体" w:cs="宋体"/>
          <w:sz w:val="24"/>
        </w:rPr>
      </w:pPr>
      <w:r>
        <w:rPr>
          <w:rFonts w:hint="eastAsia" w:ascii="宋体" w:hAnsi="宋体" w:cs="宋体"/>
          <w:sz w:val="24"/>
        </w:rPr>
        <w:t>4.3遵纪守法，身体健康，品行良好。</w:t>
      </w:r>
    </w:p>
    <w:p>
      <w:pPr>
        <w:tabs>
          <w:tab w:val="left" w:pos="1080"/>
        </w:tabs>
        <w:spacing w:line="480" w:lineRule="auto"/>
        <w:ind w:firstLine="480" w:firstLineChars="200"/>
        <w:rPr>
          <w:rFonts w:ascii="宋体" w:hAnsi="宋体" w:cs="宋体"/>
          <w:sz w:val="24"/>
        </w:rPr>
      </w:pPr>
      <w:r>
        <w:rPr>
          <w:rFonts w:hint="eastAsia" w:ascii="宋体" w:hAnsi="宋体" w:cs="宋体"/>
          <w:sz w:val="24"/>
        </w:rPr>
        <w:t>4.4树立全心全意为业主服务的意识，强化服务观念，服从安排，认真负责，重操守、重诚信。</w:t>
      </w:r>
    </w:p>
    <w:p>
      <w:pPr>
        <w:tabs>
          <w:tab w:val="left" w:pos="1080"/>
        </w:tabs>
        <w:spacing w:line="480" w:lineRule="auto"/>
        <w:ind w:firstLine="480" w:firstLineChars="200"/>
        <w:rPr>
          <w:rFonts w:ascii="宋体" w:hAnsi="宋体" w:cs="宋体"/>
          <w:sz w:val="24"/>
        </w:rPr>
      </w:pPr>
      <w:r>
        <w:rPr>
          <w:rFonts w:hint="eastAsia" w:ascii="宋体" w:hAnsi="宋体" w:cs="宋体"/>
          <w:sz w:val="24"/>
        </w:rPr>
        <w:t>4.5提供电梯维护保养人员不低于连续3个月的社保缴费凭证。</w:t>
      </w:r>
    </w:p>
    <w:p>
      <w:pPr>
        <w:spacing w:line="480" w:lineRule="auto"/>
        <w:ind w:firstLine="118" w:firstLineChars="49"/>
        <w:rPr>
          <w:rFonts w:ascii="宋体" w:hAnsi="宋体" w:cs="宋体"/>
          <w:b/>
          <w:sz w:val="24"/>
        </w:rPr>
      </w:pPr>
      <w:r>
        <w:rPr>
          <w:rFonts w:hint="eastAsia" w:ascii="宋体" w:hAnsi="宋体" w:cs="宋体"/>
          <w:b/>
          <w:sz w:val="24"/>
        </w:rPr>
        <w:t>5、安全责任</w:t>
      </w:r>
    </w:p>
    <w:p>
      <w:pPr>
        <w:spacing w:line="480" w:lineRule="auto"/>
        <w:ind w:firstLine="480" w:firstLineChars="200"/>
        <w:rPr>
          <w:rFonts w:ascii="宋体" w:hAnsi="宋体" w:cs="宋体"/>
          <w:sz w:val="24"/>
        </w:rPr>
      </w:pPr>
      <w:r>
        <w:rPr>
          <w:rFonts w:hint="eastAsia" w:ascii="宋体" w:hAnsi="宋体" w:cs="宋体"/>
          <w:sz w:val="24"/>
        </w:rPr>
        <w:t>5.1在服务期内中标人应按国家相关规定标准做好维保服务，若因维保服务不到位而造成的安全责任事故由中标人负全部责任。</w:t>
      </w:r>
    </w:p>
    <w:p>
      <w:pPr>
        <w:spacing w:line="480" w:lineRule="auto"/>
        <w:ind w:firstLine="480" w:firstLineChars="200"/>
        <w:rPr>
          <w:rFonts w:ascii="宋体" w:hAnsi="宋体" w:cs="宋体"/>
          <w:sz w:val="24"/>
        </w:rPr>
      </w:pPr>
      <w:r>
        <w:rPr>
          <w:rFonts w:hint="eastAsia" w:ascii="宋体" w:hAnsi="宋体" w:cs="宋体"/>
          <w:sz w:val="24"/>
        </w:rPr>
        <w:t>5.2实行安全责任事故一票否决权，即发生由于维保原因而发生的安全责任事故，招标人有权解除合同，同时追究相关责任。</w:t>
      </w:r>
    </w:p>
    <w:p>
      <w:pPr>
        <w:tabs>
          <w:tab w:val="left" w:pos="1080"/>
        </w:tabs>
        <w:spacing w:line="360" w:lineRule="auto"/>
        <w:rPr>
          <w:rFonts w:ascii="宋体" w:hAnsi="宋体" w:cs="宋体"/>
          <w:b/>
          <w:sz w:val="24"/>
        </w:rPr>
      </w:pPr>
    </w:p>
    <w:p>
      <w:pPr>
        <w:tabs>
          <w:tab w:val="left" w:pos="1080"/>
        </w:tabs>
        <w:spacing w:line="360" w:lineRule="auto"/>
        <w:ind w:firstLine="120" w:firstLineChars="50"/>
        <w:rPr>
          <w:rFonts w:ascii="宋体" w:hAnsi="宋体" w:cs="宋体"/>
          <w:b/>
          <w:sz w:val="24"/>
        </w:rPr>
      </w:pPr>
      <w:r>
        <w:rPr>
          <w:rFonts w:hint="eastAsia" w:ascii="宋体" w:hAnsi="宋体" w:cs="宋体"/>
          <w:b/>
          <w:sz w:val="24"/>
        </w:rPr>
        <w:t>三、商务要求</w:t>
      </w:r>
    </w:p>
    <w:p>
      <w:pPr>
        <w:tabs>
          <w:tab w:val="left" w:pos="900"/>
        </w:tabs>
        <w:spacing w:line="360" w:lineRule="auto"/>
        <w:ind w:firstLine="480" w:firstLineChars="200"/>
        <w:rPr>
          <w:rFonts w:ascii="宋体" w:hAnsi="宋体" w:cs="宋体"/>
          <w:color w:val="0070C0"/>
          <w:sz w:val="24"/>
        </w:rPr>
      </w:pPr>
      <w:r>
        <w:rPr>
          <w:rFonts w:hint="eastAsia" w:ascii="宋体" w:hAnsi="宋体" w:cs="宋体"/>
          <w:sz w:val="24"/>
        </w:rPr>
        <w:t>1、</w:t>
      </w:r>
      <w:r>
        <w:rPr>
          <w:rFonts w:hint="eastAsia" w:ascii="宋体" w:hAnsi="宋体" w:cs="宋体"/>
          <w:spacing w:val="-16"/>
          <w:sz w:val="24"/>
        </w:rPr>
        <w:t xml:space="preserve">本项目维保形式为中包：提供维保所需工具和劳务，并免费提供在合同范围 </w:t>
      </w:r>
      <w:r>
        <w:rPr>
          <w:rFonts w:hint="eastAsia" w:ascii="宋体" w:hAnsi="宋体" w:cs="宋体"/>
          <w:spacing w:val="-14"/>
          <w:sz w:val="24"/>
        </w:rPr>
        <w:t>内的因正常原因损坏的电梯零部件</w:t>
      </w:r>
      <w:r>
        <w:rPr>
          <w:rFonts w:hint="eastAsia" w:ascii="宋体" w:hAnsi="宋体" w:cs="宋体"/>
          <w:sz w:val="24"/>
        </w:rPr>
        <w:t>（200 元以下易损件，具体见附件）及维保工作所需的所有设备、工具；（2）派出工作人员的工资、福利待遇、交通费和安全防护所发生的一切费用；（3）完成本项目所需要的其他费用。</w:t>
      </w:r>
      <w:r>
        <w:rPr>
          <w:rFonts w:hint="eastAsia" w:ascii="宋体" w:hAnsi="宋体" w:cs="宋体"/>
          <w:color w:val="0070C0"/>
          <w:sz w:val="24"/>
        </w:rPr>
        <w:t xml:space="preserve"> </w:t>
      </w:r>
    </w:p>
    <w:p>
      <w:pPr>
        <w:pStyle w:val="8"/>
        <w:ind w:left="0" w:leftChars="0" w:firstLine="2650" w:firstLineChars="1100"/>
        <w:rPr>
          <w:rFonts w:ascii="宋体" w:hAnsi="宋体" w:eastAsia="宋体" w:cs="宋体"/>
          <w:b/>
          <w:bCs/>
          <w:sz w:val="24"/>
          <w:szCs w:val="24"/>
        </w:rPr>
      </w:pPr>
      <w:r>
        <w:rPr>
          <w:rFonts w:hint="eastAsia" w:ascii="宋体" w:hAnsi="宋体" w:eastAsia="宋体" w:cs="宋体"/>
          <w:b/>
          <w:bCs/>
          <w:sz w:val="24"/>
          <w:szCs w:val="24"/>
        </w:rPr>
        <w:t>200元以下易损件清单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2397"/>
        <w:gridCol w:w="1175"/>
        <w:gridCol w:w="724"/>
        <w:gridCol w:w="2180"/>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序号</w:t>
            </w:r>
          </w:p>
        </w:tc>
        <w:tc>
          <w:tcPr>
            <w:tcW w:w="2686" w:type="dxa"/>
          </w:tcPr>
          <w:p>
            <w:pPr>
              <w:jc w:val="center"/>
              <w:rPr>
                <w:rFonts w:ascii="宋体" w:hAnsi="宋体" w:cs="宋体"/>
                <w:sz w:val="24"/>
              </w:rPr>
            </w:pPr>
            <w:r>
              <w:rPr>
                <w:rFonts w:hint="eastAsia" w:ascii="宋体" w:hAnsi="宋体" w:cs="宋体"/>
                <w:sz w:val="24"/>
              </w:rPr>
              <w:t>名称</w:t>
            </w:r>
          </w:p>
        </w:tc>
        <w:tc>
          <w:tcPr>
            <w:tcW w:w="1282" w:type="dxa"/>
          </w:tcPr>
          <w:p>
            <w:pPr>
              <w:jc w:val="center"/>
              <w:rPr>
                <w:rFonts w:ascii="宋体" w:hAnsi="宋体" w:cs="宋体"/>
                <w:sz w:val="24"/>
              </w:rPr>
            </w:pPr>
            <w:r>
              <w:rPr>
                <w:rFonts w:hint="eastAsia" w:ascii="宋体" w:hAnsi="宋体" w:cs="宋体"/>
                <w:sz w:val="24"/>
              </w:rPr>
              <w:t>备注</w:t>
            </w:r>
          </w:p>
        </w:tc>
        <w:tc>
          <w:tcPr>
            <w:tcW w:w="764" w:type="dxa"/>
          </w:tcPr>
          <w:p>
            <w:pPr>
              <w:jc w:val="center"/>
              <w:rPr>
                <w:rFonts w:ascii="宋体" w:hAnsi="宋体" w:cs="宋体"/>
                <w:sz w:val="24"/>
              </w:rPr>
            </w:pPr>
            <w:r>
              <w:rPr>
                <w:rFonts w:hint="eastAsia" w:ascii="宋体" w:hAnsi="宋体" w:cs="宋体"/>
                <w:sz w:val="24"/>
              </w:rPr>
              <w:t>序号</w:t>
            </w:r>
          </w:p>
        </w:tc>
        <w:tc>
          <w:tcPr>
            <w:tcW w:w="2356" w:type="dxa"/>
          </w:tcPr>
          <w:p>
            <w:pPr>
              <w:jc w:val="center"/>
              <w:rPr>
                <w:rFonts w:ascii="宋体" w:hAnsi="宋体" w:cs="宋体"/>
                <w:sz w:val="24"/>
              </w:rPr>
            </w:pPr>
            <w:r>
              <w:rPr>
                <w:rFonts w:hint="eastAsia" w:ascii="宋体" w:hAnsi="宋体" w:cs="宋体"/>
                <w:sz w:val="24"/>
              </w:rPr>
              <w:t>名称</w:t>
            </w:r>
          </w:p>
        </w:tc>
        <w:tc>
          <w:tcPr>
            <w:tcW w:w="1551" w:type="dxa"/>
          </w:tcPr>
          <w:p>
            <w:pPr>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1</w:t>
            </w:r>
          </w:p>
        </w:tc>
        <w:tc>
          <w:tcPr>
            <w:tcW w:w="2686" w:type="dxa"/>
            <w:vAlign w:val="center"/>
          </w:tcPr>
          <w:p>
            <w:pPr>
              <w:spacing w:line="400" w:lineRule="exact"/>
              <w:jc w:val="center"/>
              <w:rPr>
                <w:rFonts w:ascii="宋体" w:hAnsi="宋体" w:cs="宋体"/>
                <w:sz w:val="24"/>
              </w:rPr>
            </w:pPr>
            <w:r>
              <w:rPr>
                <w:rFonts w:hint="eastAsia" w:ascii="宋体" w:hAnsi="宋体" w:cs="宋体"/>
                <w:sz w:val="24"/>
              </w:rPr>
              <w:t>导轨靴寸</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11</w:t>
            </w:r>
          </w:p>
        </w:tc>
        <w:tc>
          <w:tcPr>
            <w:tcW w:w="2356" w:type="dxa"/>
            <w:vAlign w:val="center"/>
          </w:tcPr>
          <w:p>
            <w:pPr>
              <w:spacing w:line="400" w:lineRule="exact"/>
              <w:ind w:firstLine="480" w:firstLineChars="200"/>
              <w:rPr>
                <w:rFonts w:ascii="宋体" w:hAnsi="宋体" w:cs="宋体"/>
                <w:sz w:val="24"/>
              </w:rPr>
            </w:pPr>
            <w:r>
              <w:rPr>
                <w:rFonts w:hint="eastAsia" w:ascii="宋体" w:hAnsi="宋体" w:cs="宋体"/>
                <w:sz w:val="24"/>
              </w:rPr>
              <w:t>LED照明灯</w:t>
            </w:r>
          </w:p>
        </w:tc>
        <w:tc>
          <w:tcPr>
            <w:tcW w:w="1551" w:type="dxa"/>
            <w:vAlign w:val="center"/>
          </w:tcPr>
          <w:p>
            <w:pPr>
              <w:spacing w:line="400" w:lineRule="exact"/>
              <w:ind w:firstLine="480" w:firstLineChars="20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2</w:t>
            </w:r>
          </w:p>
        </w:tc>
        <w:tc>
          <w:tcPr>
            <w:tcW w:w="2686" w:type="dxa"/>
            <w:vAlign w:val="center"/>
          </w:tcPr>
          <w:p>
            <w:pPr>
              <w:spacing w:line="400" w:lineRule="exact"/>
              <w:jc w:val="center"/>
              <w:rPr>
                <w:rFonts w:ascii="宋体" w:hAnsi="宋体" w:cs="宋体"/>
                <w:sz w:val="24"/>
              </w:rPr>
            </w:pPr>
            <w:r>
              <w:rPr>
                <w:rFonts w:hint="eastAsia" w:ascii="宋体" w:hAnsi="宋体" w:cs="宋体"/>
                <w:sz w:val="24"/>
              </w:rPr>
              <w:t>油杯</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12</w:t>
            </w:r>
          </w:p>
        </w:tc>
        <w:tc>
          <w:tcPr>
            <w:tcW w:w="2356" w:type="dxa"/>
            <w:vAlign w:val="center"/>
          </w:tcPr>
          <w:p>
            <w:pPr>
              <w:spacing w:line="400" w:lineRule="exact"/>
              <w:jc w:val="center"/>
              <w:rPr>
                <w:rFonts w:ascii="宋体" w:hAnsi="宋体" w:cs="宋体"/>
                <w:sz w:val="24"/>
              </w:rPr>
            </w:pPr>
            <w:r>
              <w:rPr>
                <w:rFonts w:hint="eastAsia" w:ascii="宋体" w:hAnsi="宋体" w:cs="宋体"/>
                <w:sz w:val="24"/>
              </w:rPr>
              <w:t>三角锁</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3</w:t>
            </w:r>
          </w:p>
        </w:tc>
        <w:tc>
          <w:tcPr>
            <w:tcW w:w="2686" w:type="dxa"/>
            <w:vAlign w:val="center"/>
          </w:tcPr>
          <w:p>
            <w:pPr>
              <w:spacing w:line="400" w:lineRule="exact"/>
              <w:jc w:val="center"/>
              <w:rPr>
                <w:rFonts w:ascii="宋体" w:hAnsi="宋体" w:cs="宋体"/>
                <w:sz w:val="24"/>
              </w:rPr>
            </w:pPr>
            <w:r>
              <w:rPr>
                <w:rFonts w:hint="eastAsia" w:ascii="宋体" w:hAnsi="宋体" w:cs="宋体"/>
                <w:sz w:val="24"/>
              </w:rPr>
              <w:t>行程开关</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13</w:t>
            </w:r>
          </w:p>
        </w:tc>
        <w:tc>
          <w:tcPr>
            <w:tcW w:w="2356" w:type="dxa"/>
            <w:vAlign w:val="center"/>
          </w:tcPr>
          <w:p>
            <w:pPr>
              <w:spacing w:line="400" w:lineRule="exact"/>
              <w:jc w:val="center"/>
              <w:rPr>
                <w:rFonts w:ascii="宋体" w:hAnsi="宋体" w:cs="宋体"/>
                <w:sz w:val="24"/>
              </w:rPr>
            </w:pPr>
            <w:r>
              <w:rPr>
                <w:rFonts w:hint="eastAsia" w:ascii="宋体" w:hAnsi="宋体" w:cs="宋体"/>
                <w:sz w:val="24"/>
              </w:rPr>
              <w:t>厅门弹簧</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4</w:t>
            </w:r>
          </w:p>
        </w:tc>
        <w:tc>
          <w:tcPr>
            <w:tcW w:w="2686" w:type="dxa"/>
            <w:vAlign w:val="center"/>
          </w:tcPr>
          <w:p>
            <w:pPr>
              <w:spacing w:line="400" w:lineRule="exact"/>
              <w:jc w:val="center"/>
              <w:rPr>
                <w:rFonts w:ascii="宋体" w:hAnsi="宋体" w:cs="宋体"/>
                <w:sz w:val="24"/>
              </w:rPr>
            </w:pPr>
            <w:r>
              <w:rPr>
                <w:rFonts w:hint="eastAsia" w:ascii="宋体" w:hAnsi="宋体" w:cs="宋体"/>
                <w:sz w:val="24"/>
              </w:rPr>
              <w:t>缓冲器开关</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14</w:t>
            </w:r>
          </w:p>
        </w:tc>
        <w:tc>
          <w:tcPr>
            <w:tcW w:w="2356" w:type="dxa"/>
            <w:vAlign w:val="center"/>
          </w:tcPr>
          <w:p>
            <w:pPr>
              <w:spacing w:line="400" w:lineRule="exact"/>
              <w:jc w:val="center"/>
              <w:rPr>
                <w:rFonts w:ascii="宋体" w:hAnsi="宋体" w:cs="宋体"/>
                <w:sz w:val="24"/>
              </w:rPr>
            </w:pPr>
            <w:r>
              <w:rPr>
                <w:rFonts w:hint="eastAsia" w:ascii="宋体" w:hAnsi="宋体" w:cs="宋体"/>
                <w:sz w:val="24"/>
              </w:rPr>
              <w:t>门挂轮</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5</w:t>
            </w:r>
          </w:p>
        </w:tc>
        <w:tc>
          <w:tcPr>
            <w:tcW w:w="2686" w:type="dxa"/>
            <w:vAlign w:val="center"/>
          </w:tcPr>
          <w:p>
            <w:pPr>
              <w:spacing w:line="400" w:lineRule="exact"/>
              <w:jc w:val="center"/>
              <w:rPr>
                <w:rFonts w:ascii="宋体" w:hAnsi="宋体" w:cs="宋体"/>
                <w:sz w:val="24"/>
              </w:rPr>
            </w:pPr>
            <w:r>
              <w:rPr>
                <w:rFonts w:hint="eastAsia" w:ascii="宋体" w:hAnsi="宋体" w:cs="宋体"/>
                <w:sz w:val="24"/>
              </w:rPr>
              <w:t>急停开关</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15</w:t>
            </w:r>
          </w:p>
        </w:tc>
        <w:tc>
          <w:tcPr>
            <w:tcW w:w="2356" w:type="dxa"/>
            <w:vAlign w:val="center"/>
          </w:tcPr>
          <w:p>
            <w:pPr>
              <w:spacing w:line="400" w:lineRule="exact"/>
              <w:jc w:val="center"/>
              <w:rPr>
                <w:rFonts w:ascii="宋体" w:hAnsi="宋体" w:cs="宋体"/>
                <w:sz w:val="24"/>
              </w:rPr>
            </w:pPr>
            <w:r>
              <w:rPr>
                <w:rFonts w:hint="eastAsia" w:ascii="宋体" w:hAnsi="宋体" w:cs="宋体"/>
                <w:sz w:val="24"/>
              </w:rPr>
              <w:t>门机皮带</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3" w:type="dxa"/>
          </w:tcPr>
          <w:p>
            <w:pPr>
              <w:jc w:val="center"/>
              <w:rPr>
                <w:rFonts w:ascii="宋体" w:hAnsi="宋体" w:cs="宋体"/>
                <w:sz w:val="24"/>
              </w:rPr>
            </w:pPr>
            <w:r>
              <w:rPr>
                <w:rFonts w:hint="eastAsia" w:ascii="宋体" w:hAnsi="宋体" w:cs="宋体"/>
                <w:sz w:val="24"/>
              </w:rPr>
              <w:t>6</w:t>
            </w:r>
          </w:p>
        </w:tc>
        <w:tc>
          <w:tcPr>
            <w:tcW w:w="2686" w:type="dxa"/>
            <w:vAlign w:val="center"/>
          </w:tcPr>
          <w:p>
            <w:pPr>
              <w:spacing w:line="400" w:lineRule="exact"/>
              <w:jc w:val="center"/>
              <w:rPr>
                <w:rFonts w:ascii="宋体" w:hAnsi="宋体" w:cs="宋体"/>
                <w:sz w:val="24"/>
              </w:rPr>
            </w:pPr>
            <w:r>
              <w:rPr>
                <w:rFonts w:hint="eastAsia" w:ascii="宋体" w:hAnsi="宋体" w:cs="宋体"/>
                <w:sz w:val="24"/>
              </w:rPr>
              <w:t>断绳开关</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16</w:t>
            </w:r>
          </w:p>
        </w:tc>
        <w:tc>
          <w:tcPr>
            <w:tcW w:w="2356" w:type="dxa"/>
            <w:vAlign w:val="center"/>
          </w:tcPr>
          <w:p>
            <w:pPr>
              <w:spacing w:line="400" w:lineRule="exact"/>
              <w:jc w:val="center"/>
              <w:rPr>
                <w:rFonts w:ascii="宋体" w:hAnsi="宋体" w:cs="宋体"/>
                <w:sz w:val="24"/>
              </w:rPr>
            </w:pPr>
            <w:r>
              <w:rPr>
                <w:rFonts w:hint="eastAsia" w:ascii="宋体" w:hAnsi="宋体" w:cs="宋体"/>
                <w:sz w:val="24"/>
              </w:rPr>
              <w:t>微动开关</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7</w:t>
            </w:r>
          </w:p>
        </w:tc>
        <w:tc>
          <w:tcPr>
            <w:tcW w:w="2686" w:type="dxa"/>
            <w:vAlign w:val="center"/>
          </w:tcPr>
          <w:p>
            <w:pPr>
              <w:spacing w:line="400" w:lineRule="exact"/>
              <w:jc w:val="center"/>
              <w:rPr>
                <w:rFonts w:ascii="宋体" w:hAnsi="宋体" w:cs="宋体"/>
                <w:sz w:val="24"/>
              </w:rPr>
            </w:pPr>
            <w:r>
              <w:rPr>
                <w:rFonts w:hint="eastAsia" w:ascii="宋体" w:hAnsi="宋体" w:cs="宋体"/>
                <w:sz w:val="24"/>
              </w:rPr>
              <w:t>门同步钢丝绳</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17</w:t>
            </w:r>
          </w:p>
        </w:tc>
        <w:tc>
          <w:tcPr>
            <w:tcW w:w="2356" w:type="dxa"/>
            <w:vAlign w:val="center"/>
          </w:tcPr>
          <w:p>
            <w:pPr>
              <w:spacing w:line="400" w:lineRule="exact"/>
              <w:jc w:val="center"/>
              <w:rPr>
                <w:rFonts w:ascii="宋体" w:hAnsi="宋体" w:cs="宋体"/>
                <w:sz w:val="24"/>
              </w:rPr>
            </w:pPr>
            <w:r>
              <w:rPr>
                <w:rFonts w:hint="eastAsia" w:ascii="宋体" w:hAnsi="宋体" w:cs="宋体"/>
                <w:sz w:val="24"/>
              </w:rPr>
              <w:t>继电器 24V</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8</w:t>
            </w:r>
          </w:p>
        </w:tc>
        <w:tc>
          <w:tcPr>
            <w:tcW w:w="2686" w:type="dxa"/>
            <w:vAlign w:val="center"/>
          </w:tcPr>
          <w:p>
            <w:pPr>
              <w:spacing w:line="400" w:lineRule="exact"/>
              <w:jc w:val="center"/>
              <w:rPr>
                <w:rFonts w:ascii="宋体" w:hAnsi="宋体" w:cs="宋体"/>
                <w:sz w:val="24"/>
              </w:rPr>
            </w:pPr>
            <w:r>
              <w:rPr>
                <w:rFonts w:hint="eastAsia" w:ascii="宋体" w:hAnsi="宋体" w:cs="宋体"/>
                <w:sz w:val="24"/>
              </w:rPr>
              <w:t>门锁触点</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18</w:t>
            </w:r>
          </w:p>
        </w:tc>
        <w:tc>
          <w:tcPr>
            <w:tcW w:w="2356" w:type="dxa"/>
            <w:vAlign w:val="center"/>
          </w:tcPr>
          <w:p>
            <w:pPr>
              <w:spacing w:line="400" w:lineRule="exact"/>
              <w:jc w:val="center"/>
              <w:rPr>
                <w:rFonts w:ascii="宋体" w:hAnsi="宋体" w:cs="宋体"/>
                <w:sz w:val="24"/>
              </w:rPr>
            </w:pPr>
            <w:r>
              <w:rPr>
                <w:rFonts w:hint="eastAsia" w:ascii="宋体" w:hAnsi="宋体" w:cs="宋体"/>
                <w:sz w:val="24"/>
              </w:rPr>
              <w:t>辅助触点</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9</w:t>
            </w:r>
          </w:p>
        </w:tc>
        <w:tc>
          <w:tcPr>
            <w:tcW w:w="2686" w:type="dxa"/>
            <w:vAlign w:val="center"/>
          </w:tcPr>
          <w:p>
            <w:pPr>
              <w:spacing w:line="400" w:lineRule="exact"/>
              <w:jc w:val="center"/>
              <w:rPr>
                <w:rFonts w:ascii="宋体" w:hAnsi="宋体" w:cs="宋体"/>
                <w:sz w:val="24"/>
              </w:rPr>
            </w:pPr>
            <w:r>
              <w:rPr>
                <w:rFonts w:hint="eastAsia" w:ascii="宋体" w:hAnsi="宋体" w:cs="宋体"/>
                <w:sz w:val="24"/>
              </w:rPr>
              <w:t>门滑块</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19</w:t>
            </w:r>
          </w:p>
        </w:tc>
        <w:tc>
          <w:tcPr>
            <w:tcW w:w="2356" w:type="dxa"/>
            <w:vAlign w:val="center"/>
          </w:tcPr>
          <w:p>
            <w:pPr>
              <w:spacing w:line="400" w:lineRule="exact"/>
              <w:jc w:val="center"/>
              <w:rPr>
                <w:rFonts w:ascii="宋体" w:hAnsi="宋体" w:cs="宋体"/>
                <w:sz w:val="24"/>
              </w:rPr>
            </w:pPr>
            <w:r>
              <w:rPr>
                <w:rFonts w:hint="eastAsia" w:ascii="宋体" w:hAnsi="宋体" w:cs="宋体"/>
                <w:sz w:val="24"/>
              </w:rPr>
              <w:t>应急电源</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10</w:t>
            </w:r>
          </w:p>
        </w:tc>
        <w:tc>
          <w:tcPr>
            <w:tcW w:w="2686" w:type="dxa"/>
            <w:vAlign w:val="center"/>
          </w:tcPr>
          <w:p>
            <w:pPr>
              <w:spacing w:line="400" w:lineRule="exact"/>
              <w:jc w:val="center"/>
              <w:rPr>
                <w:rFonts w:ascii="宋体" w:hAnsi="宋体" w:cs="宋体"/>
                <w:sz w:val="24"/>
              </w:rPr>
            </w:pPr>
            <w:r>
              <w:rPr>
                <w:rFonts w:hint="eastAsia" w:ascii="宋体" w:hAnsi="宋体" w:cs="宋体"/>
                <w:sz w:val="24"/>
              </w:rPr>
              <w:t>电梯按钮</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20</w:t>
            </w:r>
          </w:p>
        </w:tc>
        <w:tc>
          <w:tcPr>
            <w:tcW w:w="2356" w:type="dxa"/>
            <w:vAlign w:val="center"/>
          </w:tcPr>
          <w:p>
            <w:pPr>
              <w:spacing w:line="400" w:lineRule="exact"/>
              <w:jc w:val="center"/>
              <w:rPr>
                <w:rFonts w:ascii="宋体" w:hAnsi="宋体" w:cs="宋体"/>
                <w:sz w:val="24"/>
              </w:rPr>
            </w:pPr>
            <w:r>
              <w:rPr>
                <w:rFonts w:hint="eastAsia" w:ascii="宋体" w:hAnsi="宋体" w:cs="宋体"/>
                <w:sz w:val="24"/>
              </w:rPr>
              <w:t>轿厢对讲副机</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2" w:type="dxa"/>
            <w:gridSpan w:val="6"/>
          </w:tcPr>
          <w:p>
            <w:pPr>
              <w:pStyle w:val="8"/>
              <w:ind w:firstLine="480"/>
              <w:rPr>
                <w:rFonts w:ascii="宋体" w:hAnsi="宋体" w:eastAsia="宋体" w:cs="宋体"/>
                <w:b/>
                <w:bCs/>
                <w:sz w:val="24"/>
                <w:szCs w:val="24"/>
              </w:rPr>
            </w:pPr>
            <w:r>
              <w:rPr>
                <w:rFonts w:hint="eastAsia" w:ascii="宋体" w:hAnsi="宋体" w:eastAsia="宋体" w:cs="宋体"/>
                <w:sz w:val="24"/>
                <w:szCs w:val="24"/>
              </w:rPr>
              <w:t>以上为常用200元以下配件表，不限于其余200元以下配件</w:t>
            </w:r>
          </w:p>
        </w:tc>
      </w:tr>
    </w:tbl>
    <w:p>
      <w:pPr>
        <w:tabs>
          <w:tab w:val="left" w:pos="900"/>
        </w:tabs>
        <w:spacing w:line="360" w:lineRule="auto"/>
        <w:ind w:firstLine="480" w:firstLineChars="200"/>
        <w:rPr>
          <w:rFonts w:ascii="宋体" w:hAnsi="宋体" w:cs="宋体"/>
          <w:color w:val="0070C0"/>
          <w:sz w:val="24"/>
        </w:rPr>
      </w:pPr>
    </w:p>
    <w:p>
      <w:pPr>
        <w:spacing w:line="360" w:lineRule="auto"/>
        <w:ind w:firstLine="480" w:firstLineChars="200"/>
        <w:jc w:val="left"/>
        <w:rPr>
          <w:rFonts w:ascii="宋体" w:hAnsi="宋体" w:cs="宋体"/>
          <w:sz w:val="24"/>
        </w:rPr>
      </w:pPr>
      <w:r>
        <w:rPr>
          <w:rFonts w:hint="eastAsia" w:ascii="宋体" w:hAnsi="宋体" w:cs="宋体"/>
          <w:sz w:val="24"/>
        </w:rPr>
        <w:t>5、验收</w:t>
      </w:r>
    </w:p>
    <w:p>
      <w:pPr>
        <w:spacing w:line="360" w:lineRule="auto"/>
        <w:ind w:firstLine="720" w:firstLineChars="300"/>
        <w:jc w:val="left"/>
        <w:rPr>
          <w:rFonts w:ascii="宋体" w:hAnsi="宋体" w:cs="宋体"/>
          <w:sz w:val="24"/>
        </w:rPr>
      </w:pPr>
      <w:r>
        <w:rPr>
          <w:rFonts w:hint="eastAsia" w:ascii="宋体" w:hAnsi="宋体" w:cs="宋体"/>
          <w:sz w:val="24"/>
        </w:rPr>
        <w:t>5.1招标文件、投标文件、合同。</w:t>
      </w:r>
    </w:p>
    <w:p>
      <w:pPr>
        <w:spacing w:line="360" w:lineRule="auto"/>
        <w:ind w:firstLine="720" w:firstLineChars="300"/>
        <w:jc w:val="left"/>
        <w:rPr>
          <w:rFonts w:ascii="宋体" w:hAnsi="宋体" w:cs="宋体"/>
          <w:sz w:val="24"/>
        </w:rPr>
      </w:pPr>
      <w:r>
        <w:rPr>
          <w:rFonts w:hint="eastAsia" w:ascii="宋体" w:hAnsi="宋体" w:cs="宋体"/>
          <w:sz w:val="24"/>
        </w:rPr>
        <w:t>5.2招标人成立验收小组，负责对项目进行全面的验收。中标人须向招标人提供详细的系统验收方案。</w:t>
      </w:r>
    </w:p>
    <w:p>
      <w:pPr>
        <w:spacing w:line="360" w:lineRule="auto"/>
        <w:ind w:firstLine="720" w:firstLineChars="300"/>
        <w:jc w:val="left"/>
        <w:rPr>
          <w:rFonts w:ascii="宋体" w:hAnsi="宋体" w:cs="宋体"/>
          <w:sz w:val="24"/>
        </w:rPr>
      </w:pPr>
      <w:r>
        <w:rPr>
          <w:rFonts w:hint="eastAsia" w:ascii="宋体" w:hAnsi="宋体" w:cs="宋体"/>
          <w:sz w:val="24"/>
        </w:rPr>
        <w:t>5.3涉及安全、电力、消防、环保等其他需要由质检或行业主管部门验收的项目，招标人须约请相关部门和专家参加项目验收。中标人予以配合。</w:t>
      </w:r>
    </w:p>
    <w:p>
      <w:pPr>
        <w:spacing w:line="360" w:lineRule="auto"/>
        <w:ind w:firstLine="720" w:firstLineChars="300"/>
        <w:rPr>
          <w:rFonts w:ascii="宋体" w:hAnsi="宋体" w:cs="宋体"/>
          <w:sz w:val="24"/>
        </w:rPr>
      </w:pPr>
      <w:r>
        <w:rPr>
          <w:rFonts w:hint="eastAsia" w:ascii="宋体" w:hAnsi="宋体" w:cs="宋体"/>
          <w:sz w:val="24"/>
        </w:rPr>
        <w:t>5.4、最终验收：招标人对其进行全面考核（半年一次，见考核表）经考核合格后，招标人向中标人签发最终验收证明。</w:t>
      </w:r>
    </w:p>
    <w:p>
      <w:pPr>
        <w:spacing w:line="360" w:lineRule="auto"/>
        <w:ind w:firstLine="360" w:firstLineChars="150"/>
        <w:rPr>
          <w:rFonts w:ascii="宋体" w:hAnsi="宋体" w:cs="宋体"/>
          <w:sz w:val="24"/>
        </w:rPr>
      </w:pPr>
      <w:r>
        <w:rPr>
          <w:rFonts w:hint="eastAsia" w:ascii="宋体" w:hAnsi="宋体" w:cs="宋体"/>
          <w:sz w:val="24"/>
        </w:rPr>
        <w:t>6、付款方式：</w:t>
      </w:r>
    </w:p>
    <w:p>
      <w:pPr>
        <w:spacing w:line="420" w:lineRule="exact"/>
        <w:ind w:firstLine="480" w:firstLineChars="200"/>
        <w:rPr>
          <w:rFonts w:ascii="宋体" w:hAnsi="宋体" w:cs="宋体"/>
          <w:sz w:val="24"/>
        </w:rPr>
      </w:pPr>
      <w:r>
        <w:rPr>
          <w:rFonts w:hint="eastAsia" w:ascii="宋体" w:hAnsi="宋体" w:cs="宋体"/>
          <w:sz w:val="24"/>
        </w:rPr>
        <w:t>服务期一年，</w:t>
      </w:r>
      <w:r>
        <w:rPr>
          <w:rFonts w:hint="eastAsia" w:ascii="宋体" w:hAnsi="宋体" w:cs="宋体"/>
          <w:sz w:val="24"/>
          <w:highlight w:val="yellow"/>
        </w:rPr>
        <w:t>每半年支付一次维保费，</w:t>
      </w:r>
      <w:r>
        <w:rPr>
          <w:rFonts w:hint="eastAsia" w:ascii="宋体" w:hAnsi="宋体" w:cs="宋体"/>
          <w:sz w:val="24"/>
        </w:rPr>
        <w:t>中标人切实履行了该</w:t>
      </w:r>
      <w:r>
        <w:rPr>
          <w:rFonts w:hint="eastAsia" w:ascii="宋体" w:hAnsi="宋体" w:cs="宋体"/>
          <w:sz w:val="24"/>
          <w:highlight w:val="yellow"/>
        </w:rPr>
        <w:t>半年</w:t>
      </w:r>
      <w:r>
        <w:rPr>
          <w:rFonts w:hint="eastAsia" w:ascii="宋体" w:hAnsi="宋体" w:cs="宋体"/>
          <w:sz w:val="24"/>
        </w:rPr>
        <w:t>的全部合同义务后经考核并验收合格后，将正规的发票交付招标人后30日内，支付该</w:t>
      </w:r>
      <w:r>
        <w:rPr>
          <w:rFonts w:hint="eastAsia" w:ascii="宋体" w:hAnsi="宋体" w:cs="宋体"/>
          <w:sz w:val="24"/>
          <w:highlight w:val="yellow"/>
        </w:rPr>
        <w:t>半年的合同款。</w:t>
      </w:r>
    </w:p>
    <w:p>
      <w:pPr>
        <w:spacing w:line="420" w:lineRule="exact"/>
        <w:ind w:firstLine="480" w:firstLineChars="200"/>
        <w:rPr>
          <w:rFonts w:ascii="宋体" w:hAnsi="宋体" w:cs="宋体"/>
          <w:sz w:val="24"/>
        </w:rPr>
      </w:pPr>
    </w:p>
    <w:p>
      <w:pPr>
        <w:spacing w:line="420" w:lineRule="exact"/>
        <w:ind w:firstLine="480" w:firstLineChars="200"/>
        <w:rPr>
          <w:rFonts w:ascii="宋体" w:hAnsi="宋体" w:cs="宋体"/>
          <w:sz w:val="24"/>
        </w:rPr>
      </w:pPr>
    </w:p>
    <w:p>
      <w:pPr>
        <w:spacing w:after="156" w:afterLines="50" w:line="360" w:lineRule="exact"/>
        <w:ind w:right="420"/>
        <w:rPr>
          <w:rFonts w:ascii="宋体" w:hAnsi="宋体" w:cs="宋体"/>
          <w:sz w:val="24"/>
        </w:rPr>
      </w:pPr>
    </w:p>
    <w:tbl>
      <w:tblPr>
        <w:tblStyle w:val="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
      <w:tblGrid>
        <w:gridCol w:w="837"/>
        <w:gridCol w:w="3639"/>
        <w:gridCol w:w="661"/>
        <w:gridCol w:w="2448"/>
        <w:gridCol w:w="9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8545" w:type="dxa"/>
            <w:gridSpan w:val="5"/>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市人医院电梯维保考评表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474" w:hRule="atLeast"/>
        </w:trPr>
        <w:tc>
          <w:tcPr>
            <w:tcW w:w="837" w:type="dxa"/>
            <w:vAlign w:val="center"/>
          </w:tcPr>
          <w:p>
            <w:pPr>
              <w:jc w:val="center"/>
              <w:rPr>
                <w:rFonts w:ascii="宋体" w:hAnsi="宋体" w:cs="宋体"/>
                <w:b/>
                <w:bCs/>
                <w:color w:val="000000"/>
                <w:sz w:val="24"/>
              </w:rPr>
            </w:pPr>
          </w:p>
        </w:tc>
        <w:tc>
          <w:tcPr>
            <w:tcW w:w="3639" w:type="dxa"/>
            <w:vAlign w:val="center"/>
          </w:tcPr>
          <w:p>
            <w:pPr>
              <w:jc w:val="center"/>
              <w:rPr>
                <w:rFonts w:ascii="宋体" w:hAnsi="宋体" w:cs="宋体"/>
                <w:b/>
                <w:bCs/>
                <w:color w:val="000000"/>
                <w:sz w:val="24"/>
              </w:rPr>
            </w:pPr>
          </w:p>
        </w:tc>
        <w:tc>
          <w:tcPr>
            <w:tcW w:w="661" w:type="dxa"/>
            <w:vAlign w:val="center"/>
          </w:tcPr>
          <w:p>
            <w:pPr>
              <w:jc w:val="center"/>
              <w:rPr>
                <w:rFonts w:ascii="宋体" w:hAnsi="宋体" w:cs="宋体"/>
                <w:b/>
                <w:bCs/>
                <w:color w:val="000000"/>
                <w:sz w:val="24"/>
              </w:rPr>
            </w:pPr>
          </w:p>
        </w:tc>
        <w:tc>
          <w:tcPr>
            <w:tcW w:w="2448" w:type="dxa"/>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季度</w:t>
            </w:r>
          </w:p>
        </w:tc>
        <w:tc>
          <w:tcPr>
            <w:tcW w:w="960" w:type="dxa"/>
            <w:vAlign w:val="center"/>
          </w:tcPr>
          <w:p>
            <w:pPr>
              <w:jc w:val="cente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837"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顺序</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标准内容</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标准分值</w:t>
            </w:r>
          </w:p>
        </w:tc>
        <w:tc>
          <w:tcPr>
            <w:tcW w:w="2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评分方法</w:t>
            </w:r>
          </w:p>
        </w:tc>
        <w:tc>
          <w:tcPr>
            <w:tcW w:w="960" w:type="dxa"/>
            <w:tcBorders>
              <w:top w:val="single" w:color="000000" w:sz="4" w:space="0"/>
              <w:left w:val="single" w:color="000000" w:sz="4" w:space="0"/>
              <w:bottom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一  机房20分</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1、机房环境：机房内应保持清洁，无杂物，门窗应牢固。</w:t>
            </w:r>
          </w:p>
        </w:tc>
        <w:tc>
          <w:tcPr>
            <w:tcW w:w="66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3分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符合：3分；基本符合：1分；不符合：0分</w:t>
            </w:r>
          </w:p>
        </w:tc>
        <w:tc>
          <w:tcPr>
            <w:tcW w:w="960" w:type="dxa"/>
            <w:tcBorders>
              <w:top w:val="single" w:color="000000" w:sz="4" w:space="0"/>
              <w:left w:val="single" w:color="000000" w:sz="4" w:space="0"/>
            </w:tcBorders>
            <w:vAlign w:val="center"/>
          </w:tcPr>
          <w:p>
            <w:pPr>
              <w:jc w:val="cente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2、控制屏：控制柜内各电子元件及微机设备内无灰尘，无异味等异常情况，各种标识应准确清晰。</w:t>
            </w:r>
          </w:p>
        </w:tc>
        <w:tc>
          <w:tcPr>
            <w:tcW w:w="66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3分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符合：3分；基本符合：1分；不符合：0分</w:t>
            </w:r>
          </w:p>
        </w:tc>
        <w:tc>
          <w:tcPr>
            <w:tcW w:w="960" w:type="dxa"/>
            <w:tcBorders>
              <w:top w:val="single" w:color="000000" w:sz="4" w:space="0"/>
              <w:left w:val="single" w:color="000000" w:sz="4" w:space="0"/>
            </w:tcBorders>
            <w:vAlign w:val="center"/>
          </w:tcPr>
          <w:p>
            <w:pPr>
              <w:jc w:val="cente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3、主机：运行时应无异常噪音、无异常气味、无漏油现象。</w:t>
            </w:r>
          </w:p>
        </w:tc>
        <w:tc>
          <w:tcPr>
            <w:tcW w:w="661"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5分</w:t>
            </w:r>
          </w:p>
        </w:tc>
        <w:tc>
          <w:tcPr>
            <w:tcW w:w="2448"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符合：5分；基本符合：2分；不符合：0分</w:t>
            </w:r>
          </w:p>
        </w:tc>
        <w:tc>
          <w:tcPr>
            <w:tcW w:w="960" w:type="dxa"/>
            <w:tcBorders>
              <w:top w:val="single" w:color="000000" w:sz="4" w:space="0"/>
              <w:left w:val="single" w:color="000000" w:sz="4" w:space="0"/>
            </w:tcBorders>
            <w:vAlign w:val="center"/>
          </w:tcPr>
          <w:p>
            <w:pPr>
              <w:jc w:val="cente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837" w:type="dxa"/>
            <w:vMerge w:val="continue"/>
            <w:tcBorders>
              <w:top w:val="single" w:color="000000" w:sz="4" w:space="0"/>
              <w:bottom w:val="single" w:color="000000" w:sz="4" w:space="0"/>
              <w:right w:val="single" w:color="auto"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4、机房内各个转动部位应有明显的标记。</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auto"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837" w:type="dxa"/>
            <w:vMerge w:val="continue"/>
            <w:tcBorders>
              <w:top w:val="single" w:color="000000" w:sz="4" w:space="0"/>
              <w:bottom w:val="single" w:color="000000" w:sz="4" w:space="0"/>
              <w:right w:val="single" w:color="auto"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5、限速器：夹绳口的污垢应及时清除，使夹绳动作标准。</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5分</w:t>
            </w:r>
          </w:p>
        </w:tc>
        <w:tc>
          <w:tcPr>
            <w:tcW w:w="2448"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符合：5分；基本符合：2分；不符合：0分</w:t>
            </w:r>
          </w:p>
        </w:tc>
        <w:tc>
          <w:tcPr>
            <w:tcW w:w="960" w:type="dxa"/>
            <w:tcBorders>
              <w:top w:val="single" w:color="000000" w:sz="4" w:space="0"/>
              <w:left w:val="single" w:color="auto"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6、机房内应有救援说明、救援工具齐全、完好。</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000000" w:sz="4" w:space="0"/>
              <w:bottom w:val="single" w:color="auto" w:sz="4" w:space="0"/>
            </w:tcBorders>
            <w:vAlign w:val="center"/>
          </w:tcPr>
          <w:p>
            <w:pPr>
              <w:rPr>
                <w:rFonts w:ascii="宋体" w:hAnsi="宋体" w:cs="宋体"/>
                <w:b/>
                <w:bCs/>
                <w:color w:val="000000"/>
                <w:sz w:val="24"/>
              </w:rPr>
            </w:pPr>
          </w:p>
        </w:tc>
      </w:tr>
      <w:tr>
        <w:tblPrEx>
          <w:tblCellMar>
            <w:top w:w="15" w:type="dxa"/>
            <w:left w:w="15" w:type="dxa"/>
            <w:bottom w:w="15" w:type="dxa"/>
            <w:right w:w="15" w:type="dxa"/>
          </w:tblCellMar>
        </w:tblPrEx>
        <w:trPr>
          <w:trHeight w:val="615" w:hRule="atLeast"/>
        </w:trPr>
        <w:tc>
          <w:tcPr>
            <w:tcW w:w="837" w:type="dxa"/>
            <w:vMerge w:val="restart"/>
            <w:tcBorders>
              <w:top w:val="single" w:color="000000" w:sz="4" w:space="0"/>
              <w:bottom w:val="single" w:color="000000" w:sz="4" w:space="0"/>
              <w:right w:val="single" w:color="auto"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二井道   15分</w:t>
            </w: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1、各层厅门电气开关、门锁应灵活、可靠。</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3分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符合：3分；基本符合：1分；不符合：0分</w:t>
            </w:r>
          </w:p>
        </w:tc>
        <w:tc>
          <w:tcPr>
            <w:tcW w:w="960" w:type="dxa"/>
            <w:tcBorders>
              <w:top w:val="single" w:color="auto" w:sz="4" w:space="0"/>
              <w:left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84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2、各层厅门门头、门扇、地坎、门槽无垃圾、砂石、油污等。</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auto"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840" w:hRule="atLeast"/>
        </w:trPr>
        <w:tc>
          <w:tcPr>
            <w:tcW w:w="837" w:type="dxa"/>
            <w:vMerge w:val="continue"/>
            <w:tcBorders>
              <w:top w:val="single" w:color="000000" w:sz="4" w:space="0"/>
              <w:bottom w:val="single" w:color="000000" w:sz="4" w:space="0"/>
              <w:right w:val="single" w:color="auto"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3、钢丝绳无断股断丝现象，钢丝绳的受力要均匀。</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auto"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9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4、各层厅门的门导轨、门触点要符合标准。</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837" w:type="dxa"/>
            <w:vMerge w:val="continue"/>
            <w:tcBorders>
              <w:top w:val="single" w:color="000000" w:sz="4" w:space="0"/>
              <w:bottom w:val="single" w:color="000000" w:sz="4" w:space="0"/>
              <w:right w:val="single" w:color="auto"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5、强迫换速开关、限位开关、极限开关要灵敏、使用正常。</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auto" w:sz="4" w:space="0"/>
              <w:left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三轿顶 9分</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1、安全窗、安全钳、钢带等电气开关可靠有效。</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84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2、导轨润滑要良好，油杯油量应适顶当，不宜过多，也不宜过少。</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3、轿顶应保持清洁，没有油污和杂物。</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3分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符合：3分；基本符合：1分；不符合：0分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837" w:type="dxa"/>
            <w:vMerge w:val="restart"/>
            <w:tcBorders>
              <w:top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四轿厢内18分</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1、箱内各个按钮应动作灵活，有效。</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continue"/>
            <w:tcBorders>
              <w:top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2、轿内照明、风扇应良好。</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continue"/>
            <w:tcBorders>
              <w:top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3、安全触板动作应有效。</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continue"/>
            <w:tcBorders>
              <w:top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4、检验合格证及报警电话应张贴在轿厢显著位置</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continue"/>
            <w:tcBorders>
              <w:top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5、轿厢内应设置报警装置，且固定可靠，保持畅通</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837" w:type="dxa"/>
            <w:vMerge w:val="restart"/>
            <w:tcBorders>
              <w:top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五底坑 6分</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1、底坑环境：要定期清理轿厢底部砂石，灰尘及底坑积水、垃圾。</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90" w:hRule="atLeast"/>
        </w:trPr>
        <w:tc>
          <w:tcPr>
            <w:tcW w:w="837" w:type="dxa"/>
            <w:vMerge w:val="continue"/>
            <w:tcBorders>
              <w:top w:val="single" w:color="000000" w:sz="4" w:space="0"/>
              <w:bottom w:val="single" w:color="auto" w:sz="4" w:space="0"/>
              <w:right w:val="single" w:color="000000" w:sz="4" w:space="0"/>
            </w:tcBorders>
            <w:vAlign w:val="center"/>
          </w:tcPr>
          <w:p>
            <w:pPr>
              <w:rPr>
                <w:rFonts w:ascii="宋体" w:hAnsi="宋体" w:cs="宋体"/>
                <w:b/>
                <w:bCs/>
                <w:color w:val="000000"/>
                <w:sz w:val="24"/>
              </w:rPr>
            </w:pPr>
          </w:p>
        </w:tc>
        <w:tc>
          <w:tcPr>
            <w:tcW w:w="3639"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2、张紧装置的开关位置应符合标准。</w:t>
            </w:r>
          </w:p>
        </w:tc>
        <w:tc>
          <w:tcPr>
            <w:tcW w:w="661"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837" w:type="dxa"/>
            <w:tcBorders>
              <w:top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六外呼及层显4分</w:t>
            </w:r>
          </w:p>
        </w:tc>
        <w:tc>
          <w:tcPr>
            <w:tcW w:w="3639"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外呼及层显符合标准</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auto" w:sz="4" w:space="0"/>
              <w:left w:val="single" w:color="auto"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837" w:type="dxa"/>
            <w:vMerge w:val="restart"/>
            <w:tcBorders>
              <w:top w:val="single" w:color="auto" w:sz="4" w:space="0"/>
              <w:bottom w:val="single" w:color="000000" w:sz="4" w:space="0"/>
              <w:right w:val="single" w:color="auto"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七劳动纪律16分</w:t>
            </w: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1、维修人员无迟到、早退，不擅自离岗，有事需请假</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6分</w:t>
            </w:r>
          </w:p>
        </w:tc>
        <w:tc>
          <w:tcPr>
            <w:tcW w:w="2448"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违反一次扣3分</w:t>
            </w:r>
          </w:p>
        </w:tc>
        <w:tc>
          <w:tcPr>
            <w:tcW w:w="960" w:type="dxa"/>
            <w:tcBorders>
              <w:top w:val="single" w:color="auto" w:sz="4" w:space="0"/>
              <w:left w:val="single" w:color="auto"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129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2、维修现场工作人员是否持证上岗，护具、消防器材是否佩戴齐全（高空作业佩戴安全绳，焊接、切割是否配备消防设备及向安委会备案）</w:t>
            </w:r>
          </w:p>
        </w:tc>
        <w:tc>
          <w:tcPr>
            <w:tcW w:w="661" w:type="dxa"/>
            <w:tcBorders>
              <w:top w:val="single" w:color="auto" w:sz="4" w:space="0"/>
              <w:left w:val="single" w:color="000000" w:sz="4" w:space="0"/>
              <w:bottom w:val="single" w:color="auto"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违反一次扣4分</w:t>
            </w:r>
          </w:p>
        </w:tc>
        <w:tc>
          <w:tcPr>
            <w:tcW w:w="960" w:type="dxa"/>
            <w:tcBorders>
              <w:top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837" w:type="dxa"/>
            <w:vMerge w:val="continue"/>
            <w:tcBorders>
              <w:top w:val="single" w:color="000000" w:sz="4" w:space="0"/>
              <w:bottom w:val="single" w:color="000000" w:sz="4" w:space="0"/>
              <w:right w:val="single" w:color="auto"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3、电梯发生故障到场时限，电梯发生故障维修人员必须在20分钟之内到达现场</w:t>
            </w:r>
          </w:p>
        </w:tc>
        <w:tc>
          <w:tcPr>
            <w:tcW w:w="661" w:type="dxa"/>
            <w:tcBorders>
              <w:top w:val="single" w:color="auto" w:sz="4" w:space="0"/>
              <w:left w:val="single" w:color="000000" w:sz="4" w:space="0"/>
              <w:bottom w:val="single" w:color="auto"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6分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违反一次扣6分</w:t>
            </w:r>
          </w:p>
        </w:tc>
        <w:tc>
          <w:tcPr>
            <w:tcW w:w="960" w:type="dxa"/>
            <w:tcBorders>
              <w:top w:val="single" w:color="auto"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83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八维保频次、台帐及服务质量12分</w:t>
            </w:r>
          </w:p>
        </w:tc>
        <w:tc>
          <w:tcPr>
            <w:tcW w:w="3639"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1、每天巡检一次，每半个月保养一次，台账记录准确、工整、无误</w:t>
            </w:r>
          </w:p>
        </w:tc>
        <w:tc>
          <w:tcPr>
            <w:tcW w:w="661"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8分</w:t>
            </w:r>
          </w:p>
        </w:tc>
        <w:tc>
          <w:tcPr>
            <w:tcW w:w="2448"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违反一次扣4分</w:t>
            </w:r>
          </w:p>
        </w:tc>
        <w:tc>
          <w:tcPr>
            <w:tcW w:w="960" w:type="dxa"/>
            <w:tcBorders>
              <w:top w:val="single" w:color="auto"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3、维修工作有无投诉</w:t>
            </w:r>
          </w:p>
        </w:tc>
        <w:tc>
          <w:tcPr>
            <w:tcW w:w="66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投诉一次扣2分</w:t>
            </w:r>
          </w:p>
        </w:tc>
        <w:tc>
          <w:tcPr>
            <w:tcW w:w="960" w:type="dxa"/>
            <w:tcBorders>
              <w:top w:val="single" w:color="000000" w:sz="4" w:space="0"/>
              <w:left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837"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九</w:t>
            </w:r>
          </w:p>
        </w:tc>
        <w:tc>
          <w:tcPr>
            <w:tcW w:w="674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总得分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4476" w:type="dxa"/>
            <w:gridSpan w:val="2"/>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 xml:space="preserve">考核人：                               </w:t>
            </w:r>
          </w:p>
        </w:tc>
        <w:tc>
          <w:tcPr>
            <w:tcW w:w="661" w:type="dxa"/>
            <w:vAlign w:val="center"/>
          </w:tcPr>
          <w:p>
            <w:pPr>
              <w:jc w:val="center"/>
              <w:rPr>
                <w:rFonts w:ascii="宋体" w:hAnsi="宋体" w:cs="宋体"/>
                <w:b/>
                <w:bCs/>
                <w:color w:val="000000"/>
                <w:sz w:val="24"/>
              </w:rPr>
            </w:pPr>
          </w:p>
        </w:tc>
        <w:tc>
          <w:tcPr>
            <w:tcW w:w="2448" w:type="dxa"/>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年    月    日</w:t>
            </w:r>
          </w:p>
        </w:tc>
        <w:tc>
          <w:tcPr>
            <w:tcW w:w="960" w:type="dxa"/>
            <w:vAlign w:val="center"/>
          </w:tcPr>
          <w:p>
            <w:pPr>
              <w:rPr>
                <w:rFonts w:ascii="宋体" w:hAnsi="宋体" w:cs="宋体"/>
                <w:b/>
                <w:bCs/>
                <w:color w:val="000000"/>
                <w:sz w:val="24"/>
              </w:rPr>
            </w:pPr>
          </w:p>
        </w:tc>
      </w:tr>
    </w:tbl>
    <w:p>
      <w:pPr>
        <w:spacing w:after="156" w:afterLines="50" w:line="360" w:lineRule="exact"/>
        <w:ind w:right="420"/>
        <w:rPr>
          <w:rFonts w:ascii="宋体" w:hAnsi="宋体" w:cs="宋体"/>
          <w:sz w:val="24"/>
        </w:rPr>
      </w:pPr>
    </w:p>
    <w:p>
      <w:pPr>
        <w:jc w:val="left"/>
        <w:rPr>
          <w:rFonts w:ascii="宋体" w:hAnsi="宋体" w:cs="宋体"/>
          <w:b/>
          <w:bCs/>
          <w:sz w:val="24"/>
        </w:rPr>
      </w:pPr>
    </w:p>
    <w:bookmarkEnd w:id="0"/>
    <w:p>
      <w:pPr>
        <w:jc w:val="left"/>
        <w:rPr>
          <w:rFonts w:ascii="宋体" w:hAnsi="宋体" w:cs="宋体"/>
          <w:b/>
          <w:bCs/>
          <w:sz w:val="24"/>
        </w:rPr>
      </w:pPr>
    </w:p>
    <w:p>
      <w:pPr>
        <w:rPr>
          <w:sz w:val="32"/>
          <w:szCs w:val="32"/>
        </w:rPr>
      </w:pPr>
      <w:r>
        <w:rPr>
          <w:rFonts w:hint="eastAsia" w:ascii="仿宋" w:hAnsi="仿宋" w:eastAsia="仿宋"/>
          <w:b/>
          <w:bCs/>
          <w:sz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DE7B01"/>
    <w:multiLevelType w:val="multilevel"/>
    <w:tmpl w:val="79DE7B0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AF0557"/>
    <w:rsid w:val="00055C19"/>
    <w:rsid w:val="001F1642"/>
    <w:rsid w:val="00424761"/>
    <w:rsid w:val="00426776"/>
    <w:rsid w:val="00484052"/>
    <w:rsid w:val="0058089F"/>
    <w:rsid w:val="00582ABA"/>
    <w:rsid w:val="006A3E5A"/>
    <w:rsid w:val="006F39C8"/>
    <w:rsid w:val="007A313A"/>
    <w:rsid w:val="007C7C7B"/>
    <w:rsid w:val="008C3450"/>
    <w:rsid w:val="008F5D19"/>
    <w:rsid w:val="00A730EA"/>
    <w:rsid w:val="00B7682E"/>
    <w:rsid w:val="00E4158F"/>
    <w:rsid w:val="00E81592"/>
    <w:rsid w:val="00F31447"/>
    <w:rsid w:val="00FB12F6"/>
    <w:rsid w:val="09AE60FC"/>
    <w:rsid w:val="16262B97"/>
    <w:rsid w:val="1E460AE0"/>
    <w:rsid w:val="1EAF0557"/>
    <w:rsid w:val="34226E07"/>
    <w:rsid w:val="359B3970"/>
    <w:rsid w:val="379E413B"/>
    <w:rsid w:val="3AA75A14"/>
    <w:rsid w:val="3C082746"/>
    <w:rsid w:val="422972C1"/>
    <w:rsid w:val="43B57857"/>
    <w:rsid w:val="4C58431A"/>
    <w:rsid w:val="5CFF7E75"/>
    <w:rsid w:val="60E907EC"/>
    <w:rsid w:val="6A730853"/>
    <w:rsid w:val="785D20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3">
    <w:name w:val="Body Text Indent"/>
    <w:basedOn w:val="1"/>
    <w:next w:val="4"/>
    <w:qFormat/>
    <w:uiPriority w:val="99"/>
    <w:pPr>
      <w:spacing w:after="120"/>
      <w:ind w:left="420" w:leftChars="200"/>
    </w:pPr>
    <w:rPr>
      <w:rFonts w:ascii="Arial" w:hAnsi="Arial" w:eastAsia="仿宋_GB2312"/>
      <w:kern w:val="0"/>
      <w:sz w:val="28"/>
      <w:szCs w:val="20"/>
    </w:rPr>
  </w:style>
  <w:style w:type="paragraph" w:styleId="4">
    <w:name w:val="envelope return"/>
    <w:basedOn w:val="1"/>
    <w:qFormat/>
    <w:uiPriority w:val="0"/>
    <w:pPr>
      <w:snapToGrid w:val="0"/>
    </w:pPr>
    <w:rPr>
      <w:rFonts w:ascii="Arial" w:hAnsi="Arial"/>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qFormat/>
    <w:uiPriority w:val="0"/>
    <w:pPr>
      <w:spacing w:before="100" w:beforeAutospacing="1" w:after="100" w:afterAutospacing="1" w:line="360" w:lineRule="auto"/>
      <w:jc w:val="center"/>
      <w:outlineLvl w:val="0"/>
    </w:pPr>
    <w:rPr>
      <w:rFonts w:ascii="Cambria" w:hAnsi="Cambria"/>
      <w:b/>
      <w:bCs/>
      <w:kern w:val="0"/>
      <w:sz w:val="32"/>
      <w:szCs w:val="32"/>
    </w:rPr>
  </w:style>
  <w:style w:type="paragraph" w:styleId="8">
    <w:name w:val="Body Text First Indent 2"/>
    <w:basedOn w:val="3"/>
    <w:unhideWhenUsed/>
    <w:qFormat/>
    <w:uiPriority w:val="99"/>
    <w:pPr>
      <w:widowControl/>
      <w:adjustRightInd w:val="0"/>
      <w:snapToGrid w:val="0"/>
      <w:ind w:firstLine="420" w:firstLineChars="200"/>
      <w:jc w:val="left"/>
    </w:pPr>
    <w:rPr>
      <w:rFonts w:ascii="Tahoma" w:hAnsi="Tahoma" w:eastAsia="微软雅黑"/>
      <w:sz w:val="22"/>
      <w:szCs w:val="2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11"/>
    <w:basedOn w:val="11"/>
    <w:qFormat/>
    <w:uiPriority w:val="0"/>
    <w:rPr>
      <w:rFonts w:hint="eastAsia" w:ascii="宋体" w:hAnsi="宋体" w:eastAsia="宋体" w:cs="宋体"/>
      <w:color w:val="000000"/>
      <w:sz w:val="22"/>
      <w:szCs w:val="22"/>
      <w:u w:val="none"/>
    </w:rPr>
  </w:style>
  <w:style w:type="character" w:customStyle="1" w:styleId="13">
    <w:name w:val="页眉 字符"/>
    <w:basedOn w:val="11"/>
    <w:link w:val="6"/>
    <w:qFormat/>
    <w:uiPriority w:val="0"/>
    <w:rPr>
      <w:kern w:val="2"/>
      <w:sz w:val="18"/>
      <w:szCs w:val="18"/>
    </w:rPr>
  </w:style>
  <w:style w:type="character" w:customStyle="1" w:styleId="14">
    <w:name w:val="页脚 字符"/>
    <w:basedOn w:val="11"/>
    <w:link w:val="5"/>
    <w:qFormat/>
    <w:uiPriority w:val="0"/>
    <w:rPr>
      <w:kern w:val="2"/>
      <w:sz w:val="18"/>
      <w:szCs w:val="18"/>
    </w:rPr>
  </w:style>
  <w:style w:type="paragraph" w:styleId="15">
    <w:name w:val="List Paragraph"/>
    <w:basedOn w:val="1"/>
    <w:unhideWhenUsed/>
    <w:qFormat/>
    <w:uiPriority w:val="99"/>
    <w:pPr>
      <w:ind w:firstLine="420" w:firstLineChars="200"/>
    </w:pPr>
  </w:style>
  <w:style w:type="character" w:customStyle="1" w:styleId="16">
    <w:name w:val="font01"/>
    <w:basedOn w:val="11"/>
    <w:qFormat/>
    <w:uiPriority w:val="0"/>
    <w:rPr>
      <w:rFonts w:hint="eastAsia" w:ascii="宋体" w:hAnsi="宋体" w:eastAsia="宋体" w:cs="宋体"/>
      <w:color w:val="000000"/>
      <w:sz w:val="22"/>
      <w:szCs w:val="22"/>
      <w:u w:val="none"/>
    </w:rPr>
  </w:style>
  <w:style w:type="character" w:customStyle="1" w:styleId="17">
    <w:name w:val="font61"/>
    <w:basedOn w:val="11"/>
    <w:qFormat/>
    <w:uiPriority w:val="0"/>
    <w:rPr>
      <w:rFonts w:hint="eastAsia" w:ascii="宋体" w:hAnsi="宋体" w:eastAsia="宋体" w:cs="宋体"/>
      <w:color w:val="000000"/>
      <w:sz w:val="20"/>
      <w:szCs w:val="20"/>
      <w:u w:val="none"/>
    </w:rPr>
  </w:style>
  <w:style w:type="character" w:customStyle="1" w:styleId="18">
    <w:name w:val="font91"/>
    <w:basedOn w:val="11"/>
    <w:qFormat/>
    <w:uiPriority w:val="0"/>
    <w:rPr>
      <w:rFonts w:hint="default" w:ascii="Times New Roman" w:hAnsi="Times New Roman" w:cs="Times New Roman"/>
      <w:color w:val="000000"/>
      <w:sz w:val="20"/>
      <w:szCs w:val="20"/>
      <w:u w:val="none"/>
    </w:rPr>
  </w:style>
  <w:style w:type="character" w:customStyle="1" w:styleId="19">
    <w:name w:val="font81"/>
    <w:basedOn w:val="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642</Words>
  <Characters>3662</Characters>
  <Lines>30</Lines>
  <Paragraphs>8</Paragraphs>
  <TotalTime>5</TotalTime>
  <ScaleCrop>false</ScaleCrop>
  <LinksUpToDate>false</LinksUpToDate>
  <CharactersWithSpaces>4296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2023-11-13T02:46:00Z</dcterms:created>
  <dc:creator>张太生</dc:creator>
  <cp:lastModifiedBy>高杨</cp:lastModifiedBy>
  <cp:lastPrinted>2020-12-09T00:42:00Z</cp:lastPrinted>
  <dcterms:modified xsi:type="dcterms:W3CDTF">2023-11-13T09:21:43Z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E12F12060315464E95A2C3870A81E098_13</vt:lpwstr>
  </property>
</Properties>
</file>