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68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43434"/>
          <w:spacing w:val="0"/>
          <w:sz w:val="30"/>
          <w:szCs w:val="30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343434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Style w:val="5"/>
          <w:rFonts w:hint="eastAsia" w:ascii="黑体" w:hAnsi="黑体" w:eastAsia="黑体" w:cs="黑体"/>
          <w:i w:val="0"/>
          <w:caps w:val="0"/>
          <w:color w:val="343434"/>
          <w:spacing w:val="0"/>
          <w:sz w:val="30"/>
          <w:szCs w:val="30"/>
          <w:shd w:val="clear" w:fill="FFFFFF"/>
        </w:rPr>
        <w:t>马鞍山市人民医院女职工用品项目采购需求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抽取式面巾纸内容及技术规格</w:t>
      </w:r>
    </w:p>
    <w:tbl>
      <w:tblPr>
        <w:tblStyle w:val="3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2550"/>
        <w:gridCol w:w="2415"/>
        <w:gridCol w:w="1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2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产品规格</w:t>
            </w:r>
          </w:p>
        </w:tc>
        <w:tc>
          <w:tcPr>
            <w:tcW w:w="2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数量（人）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抽取式面巾纸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210mm×210mm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200抽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400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张）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1220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心相印、维达、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清风同等及以上产品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 一、产品技术要求：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   1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、产品规格：不低于210mm×210mm/张，每张不低于2层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  *2、产品需有国家相关部门批准的产品执行标准号、卫生标准号。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  *3、纸张需100%原生木浆、无香味，不含可迁移性荧光增白剂。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  4、产品使用时纸质柔润、不掉纸屑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二、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抽取式面巾纸采购具体要求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1、三个品牌中择优选择一种品牌进行采购。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720" w:firstLineChars="30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2、样品要求：成交供应商提供的抽纸样品须符合上述品牌技术规格要求，成交后须按样品供货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1"/>
          <w:szCs w:val="21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如若3次货物质量有5%与样品不符即取消采购合同。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3、投标人所投品牌与上述不一致的，按无效标处理。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C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C00000"/>
          <w:spacing w:val="0"/>
          <w:sz w:val="24"/>
          <w:szCs w:val="24"/>
          <w:shd w:val="clear" w:fill="FFFFFF"/>
        </w:rPr>
        <w:t>4、合同签订后供方每季度的首月第一周内提供提货券。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三、质量要求及验收标准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1、供方提供的所有货物必须为合格产品，质量符合国家通用标准及招标文件要求，如出现质量问题或系假冒伪劣产品，供应商负责包退、包换，发生的费用由供应商承担。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2. 中标人所供产品，必须提供近期的、与采购品种相符的产品出厂检验报告。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3、中标人在供货期间，凡因所供货物质量问题造成严重后果的，中标人必须承担一切经济和法律责任。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四、结算方式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960" w:firstLineChars="40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按实际供应量年度进行付款，中标人提供合规发票。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42FA4"/>
    <w:rsid w:val="01764121"/>
    <w:rsid w:val="0E56100E"/>
    <w:rsid w:val="2D5D220D"/>
    <w:rsid w:val="44E1370A"/>
    <w:rsid w:val="54142FA4"/>
    <w:rsid w:val="68CF60F4"/>
    <w:rsid w:val="6EC2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2020-03-08T07:35:00Z</dcterms:created>
  <dc:creator>敏敏</dc:creator>
  <cp:lastModifiedBy>高杨</cp:lastModifiedBy>
  <dcterms:modified xsi:type="dcterms:W3CDTF">2023-10-23T01:49:29Z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D1D2DF46795F40AEBC18B6068B54EC65_13</vt:lpwstr>
  </property>
</Properties>
</file>