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w w:val="95"/>
          <w:sz w:val="32"/>
          <w:szCs w:val="28"/>
        </w:rPr>
      </w:pPr>
      <w:r>
        <w:rPr>
          <w:rFonts w:hint="eastAsia"/>
          <w:w w:val="95"/>
          <w:sz w:val="32"/>
          <w:szCs w:val="28"/>
        </w:rPr>
        <w:t>脑卒中配套检测试剂及耗材</w:t>
      </w: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9"/>
        <w:gridCol w:w="2338"/>
        <w:gridCol w:w="4372"/>
        <w:gridCol w:w="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431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序号</w:t>
            </w:r>
          </w:p>
        </w:tc>
        <w:tc>
          <w:tcPr>
            <w:tcW w:w="140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val="zh-Hans" w:eastAsia="zh-Hans" w:bidi="ar"/>
              </w:rPr>
              <w:t>货物名称</w:t>
            </w: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描述</w:t>
            </w:r>
          </w:p>
        </w:tc>
        <w:tc>
          <w:tcPr>
            <w:tcW w:w="543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  <w:lang w:val="zh-Hans" w:eastAsia="zh-Hans"/>
              </w:rPr>
              <w:t>1</w:t>
            </w:r>
          </w:p>
        </w:tc>
        <w:tc>
          <w:tcPr>
            <w:tcW w:w="1402" w:type="pct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“卡迪克</w:t>
            </w: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 xml:space="preserve"> CardioChek@PA”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脂类检测条（干化学法）</w:t>
            </w: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1.规格：15人份/盒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val="zh-Hans" w:eastAsia="zh-Hans"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2.胆固醇酯酶（微生物）≥1.75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3.胆固醇氧化酶（微生物）≥1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4.过氧化物酶（辣根）≥10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5.氨基安替比林≥ 64μg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eastAsia="zh-Hans"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6.取代苯胺衍生物 ≥60μg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7.磷钨酸 ≥0.3mg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8.N,N-双取代苯胺 ≥50μg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9.甘油-3-磷酸盐氧化酶（微生物）≥1.5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10.甘油激酶（微生物）≥2.0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11.ATP(微生物)≥50μg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12.脂蛋白脂肪酶(微生物)≥4.5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2</w:t>
            </w:r>
          </w:p>
        </w:tc>
        <w:tc>
          <w:tcPr>
            <w:tcW w:w="1402" w:type="pct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“三诺安稳</w:t>
            </w:r>
            <w:r>
              <w:rPr>
                <w:szCs w:val="28"/>
              </w:rPr>
              <w:t>+”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血糖测试条</w:t>
            </w: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1.规格：50人份/盒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2.测量范围：1.1mmol/L~33.3mmol/L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3.试纸适用新鲜静脉全血样本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3</w:t>
            </w:r>
          </w:p>
        </w:tc>
        <w:tc>
          <w:tcPr>
            <w:tcW w:w="1402" w:type="pct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“</w:t>
            </w:r>
            <w:r>
              <w:rPr>
                <w:szCs w:val="28"/>
              </w:rPr>
              <w:t>Hipro（禾柏）”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糖化血红蛋白检测试剂盒（免疫散射速率法）</w:t>
            </w: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1.规格：25人份/盒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2.线性范围：2%-14%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3.检测限：不大于1.2%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4.批内精密度：相对标准偏差（RSD）≤10%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5.批间精密度：批间差≤15%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6.准确性：相对偏差（B）不大于10%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4</w:t>
            </w:r>
          </w:p>
        </w:tc>
        <w:tc>
          <w:tcPr>
            <w:tcW w:w="1402" w:type="pct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“</w:t>
            </w:r>
            <w:r>
              <w:rPr>
                <w:szCs w:val="28"/>
              </w:rPr>
              <w:t>Hipro（禾柏）”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同型半胱氨酸检测试剂盒（酶法）</w:t>
            </w: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1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.规格：25人份/盒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2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.线性范围：2.5μmol/L～60μmol/L，r≥0.990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3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.空白限：不大于1.5μmol/L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4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.批内精密度：相对标准偏差（RSD）≤10%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5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.批间精密度：批间相对极差（R）≤15%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6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.准确度:相对偏差（B）应不超过±10%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5</w:t>
            </w:r>
          </w:p>
        </w:tc>
        <w:tc>
          <w:tcPr>
            <w:tcW w:w="1402" w:type="pct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“恒泰”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一次性使用静脉采血针</w:t>
            </w: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1.规格：100支/盒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2.真空采血管由试管、胶塞、塑料盖以及采血管内的添加剂和/或附加物组成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3.采血管与真空采血管配套采血针配合使用，用于临床人体静脉血液标本的采集、运输、保存和处理。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6</w:t>
            </w:r>
          </w:p>
        </w:tc>
        <w:tc>
          <w:tcPr>
            <w:tcW w:w="1402" w:type="pct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“重庆三丰”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真空采血管（分离胶促凝管）</w:t>
            </w: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1.规格：100支/包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2.无菌，采用环氧乙烷灭菌，一次性使用。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2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2622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3.适用于与一次性使用静脉血样采集容器配套使用，从人体静脉采取血液进行血液分析。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05" w:type="dxa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7</w:t>
            </w:r>
          </w:p>
        </w:tc>
        <w:tc>
          <w:tcPr>
            <w:tcW w:w="2944" w:type="dxa"/>
            <w:vMerge w:val="restar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“重庆三丰”</w:t>
            </w:r>
          </w:p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真空采血管（肝素锂管）</w:t>
            </w:r>
          </w:p>
        </w:tc>
        <w:tc>
          <w:tcPr>
            <w:tcW w:w="5505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1.规格：100支/包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05" w:type="dxa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944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5505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2.无菌，采用环氧乙烷灭菌，一次性使用。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05" w:type="dxa"/>
            <w:vMerge w:val="continue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944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/>
                <w:szCs w:val="24"/>
              </w:rPr>
            </w:pPr>
          </w:p>
        </w:tc>
        <w:tc>
          <w:tcPr>
            <w:tcW w:w="5505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3.适用于与一次性使用静脉血样采集容器配套使用，从人体静脉采取血液进行血液分析。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新宋体" w:hAnsi="新宋体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B91383"/>
    <w:multiLevelType w:val="multilevel"/>
    <w:tmpl w:val="4CB91383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D3A"/>
    <w:rsid w:val="000E4104"/>
    <w:rsid w:val="00185AB4"/>
    <w:rsid w:val="001E23A9"/>
    <w:rsid w:val="001E70A4"/>
    <w:rsid w:val="00214D3A"/>
    <w:rsid w:val="0022743E"/>
    <w:rsid w:val="0023152F"/>
    <w:rsid w:val="00241FEC"/>
    <w:rsid w:val="00283687"/>
    <w:rsid w:val="002940C2"/>
    <w:rsid w:val="002D790C"/>
    <w:rsid w:val="00304FEA"/>
    <w:rsid w:val="004664CF"/>
    <w:rsid w:val="00507ED8"/>
    <w:rsid w:val="00566100"/>
    <w:rsid w:val="005876D6"/>
    <w:rsid w:val="00703502"/>
    <w:rsid w:val="007163FB"/>
    <w:rsid w:val="007559E0"/>
    <w:rsid w:val="00775A7F"/>
    <w:rsid w:val="007D029D"/>
    <w:rsid w:val="007F72CA"/>
    <w:rsid w:val="00800BF6"/>
    <w:rsid w:val="00822605"/>
    <w:rsid w:val="008347F7"/>
    <w:rsid w:val="008362AB"/>
    <w:rsid w:val="008D68AF"/>
    <w:rsid w:val="008E28CB"/>
    <w:rsid w:val="00903065"/>
    <w:rsid w:val="00926F2B"/>
    <w:rsid w:val="009409BF"/>
    <w:rsid w:val="00964A6B"/>
    <w:rsid w:val="00964F53"/>
    <w:rsid w:val="009B4856"/>
    <w:rsid w:val="009C58BF"/>
    <w:rsid w:val="00A35B16"/>
    <w:rsid w:val="00A41D92"/>
    <w:rsid w:val="00A529B9"/>
    <w:rsid w:val="00A9420D"/>
    <w:rsid w:val="00AD2FA3"/>
    <w:rsid w:val="00AD7E58"/>
    <w:rsid w:val="00B83D76"/>
    <w:rsid w:val="00B9124A"/>
    <w:rsid w:val="00BB3109"/>
    <w:rsid w:val="00C11236"/>
    <w:rsid w:val="00C51F3C"/>
    <w:rsid w:val="00CA594D"/>
    <w:rsid w:val="00CC5B2A"/>
    <w:rsid w:val="00D07B5E"/>
    <w:rsid w:val="00D8770B"/>
    <w:rsid w:val="00DE501A"/>
    <w:rsid w:val="00E95E4A"/>
    <w:rsid w:val="00ED52E4"/>
    <w:rsid w:val="00F3743A"/>
    <w:rsid w:val="00F56F81"/>
    <w:rsid w:val="00F70254"/>
    <w:rsid w:val="00FC64B3"/>
    <w:rsid w:val="00FD75A5"/>
    <w:rsid w:val="00FE5259"/>
    <w:rsid w:val="5D9D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新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0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uiPriority w:val="99"/>
    <w:rPr>
      <w:sz w:val="18"/>
      <w:szCs w:val="18"/>
    </w:rPr>
  </w:style>
  <w:style w:type="character" w:customStyle="1" w:styleId="12">
    <w:name w:val="标题 1 字符"/>
    <w:basedOn w:val="9"/>
    <w:link w:val="2"/>
    <w:uiPriority w:val="9"/>
    <w:rPr>
      <w:b/>
      <w:bCs/>
      <w:kern w:val="44"/>
      <w:sz w:val="32"/>
      <w:szCs w:val="44"/>
    </w:rPr>
  </w:style>
  <w:style w:type="character" w:customStyle="1" w:styleId="13">
    <w:name w:val="标题 2 字符"/>
    <w:basedOn w:val="9"/>
    <w:link w:val="3"/>
    <w:uiPriority w:val="9"/>
    <w:rPr>
      <w:rFonts w:asciiTheme="majorHAnsi" w:hAnsiTheme="majorHAnsi" w:eastAsiaTheme="majorEastAsia" w:cstheme="majorBidi"/>
      <w:b/>
      <w:bCs/>
      <w:sz w:val="30"/>
      <w:szCs w:val="32"/>
    </w:rPr>
  </w:style>
  <w:style w:type="character" w:customStyle="1" w:styleId="14">
    <w:name w:val="标题 3 字符"/>
    <w:basedOn w:val="9"/>
    <w:link w:val="4"/>
    <w:uiPriority w:val="9"/>
    <w:rPr>
      <w:b/>
      <w:bCs/>
      <w:sz w:val="28"/>
      <w:szCs w:val="3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eastAsia="en-US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698</Words>
  <Characters>891</Characters>
  <Lines>7</Lines>
  <Paragraphs>2</Paragraphs>
  <TotalTime>56</TotalTime>
  <ScaleCrop>false</ScaleCrop>
  <LinksUpToDate>false</LinksUpToDate>
  <CharactersWithSpaces>902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2022-03-17T03:10:00Z</dcterms:created>
  <dc:creator>U U</dc:creator>
  <cp:lastModifiedBy>高杨</cp:lastModifiedBy>
  <dcterms:modified xsi:type="dcterms:W3CDTF">2023-06-30T07:41:32Z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8D7733DFAE1C4209A78E031ADDFF00A7_13</vt:lpwstr>
  </property>
</Properties>
</file>