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0" w:name="_GoBack"/>
      <w:bookmarkEnd w:id="0"/>
      <w:r>
        <w:rPr>
          <w:rFonts w:hint="eastAsia"/>
          <w:b/>
          <w:sz w:val="32"/>
          <w:szCs w:val="32"/>
        </w:rPr>
        <w:t>安徽省新冠肺炎远程会诊平台技术方案</w:t>
      </w:r>
    </w:p>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项目</w:t>
      </w:r>
      <w:r>
        <w:rPr>
          <w:rFonts w:hint="eastAsia"/>
          <w:sz w:val="24"/>
        </w:rPr>
        <w:t>背景</w:t>
      </w:r>
    </w:p>
    <w:p>
      <w:pPr>
        <w:spacing w:before="156" w:beforeLines="50" w:after="156" w:afterLines="50" w:line="360" w:lineRule="auto"/>
        <w:ind w:firstLine="464" w:firstLineChars="200"/>
        <w:rPr>
          <w:rFonts w:hint="eastAsia" w:ascii="宋体" w:hAnsi="宋体" w:eastAsia="宋体"/>
          <w:sz w:val="24"/>
        </w:rPr>
      </w:pPr>
      <w:r>
        <w:rPr>
          <w:rFonts w:hint="eastAsia" w:ascii="宋体" w:hAnsi="宋体" w:eastAsia="宋体" w:cs="宋体"/>
          <w:color w:val="000000" w:themeColor="text1"/>
          <w:spacing w:val="-4"/>
          <w:kern w:val="0"/>
          <w:sz w:val="24"/>
          <w14:textFill>
            <w14:solidFill>
              <w14:schemeClr w14:val="tx1"/>
            </w14:solidFill>
          </w14:textFill>
        </w:rPr>
        <w:t>近日，国务院应对新型冠状病毒肺炎疫情联防联控机制综合组发布了《关于印发依托县域医共体提升农村地区新冠肺炎医疗保障能力工作方案的通知</w:t>
      </w:r>
      <w:r>
        <w:rPr>
          <w:rFonts w:hint="eastAsia" w:ascii="宋体" w:hAnsi="宋体" w:eastAsia="宋体"/>
          <w:sz w:val="24"/>
        </w:rPr>
        <w:t>》（联防联控机制综发〔2022〕126号</w:t>
      </w:r>
      <w:r>
        <w:rPr>
          <w:rFonts w:hint="eastAsia" w:ascii="宋体" w:hAnsi="宋体" w:eastAsia="宋体" w:cs="宋体"/>
          <w:color w:val="000000" w:themeColor="text1"/>
          <w:spacing w:val="-4"/>
          <w:kern w:val="0"/>
          <w:sz w:val="24"/>
          <w14:textFill>
            <w14:solidFill>
              <w14:schemeClr w14:val="tx1"/>
            </w14:solidFill>
          </w14:textFill>
        </w:rPr>
        <w:t>），要求在农村地区以县域医共体为载体，提升县级医院重症救治能力，发挥乡镇卫生院和村卫生室健康监测作用，最大可能降低重症率、病亡率，强调了“通过远程医疗等方式提高基层医师对高风险人群的识别、诊断和处置能力”。国务院应对新型冠状病毒肺炎疫情联防联控机制医疗救治组发布</w:t>
      </w:r>
      <w:r>
        <w:rPr>
          <w:rFonts w:hint="eastAsia" w:ascii="宋体" w:hAnsi="宋体" w:eastAsia="宋体"/>
          <w:sz w:val="24"/>
        </w:rPr>
        <w:t>《</w:t>
      </w:r>
      <w:r>
        <w:rPr>
          <w:rFonts w:ascii="宋体" w:hAnsi="宋体" w:eastAsia="宋体" w:cs="宋体"/>
          <w:kern w:val="0"/>
          <w:sz w:val="24"/>
          <w:szCs w:val="24"/>
        </w:rPr>
        <w:t>关于做好新冠肺炎互联网医疗服务的通知</w:t>
      </w:r>
      <w:r>
        <w:rPr>
          <w:rFonts w:hint="eastAsia" w:ascii="宋体" w:hAnsi="宋体" w:eastAsia="宋体"/>
          <w:sz w:val="24"/>
        </w:rPr>
        <w:t>》（联防联控机制医疗发〔2022〕240号），鼓励医联体内上级医院通过远程会诊、远程诊断、远程培训等方式提高基层医疗机构对高风险人群的识别、诊断和处置能力。</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为落实相关通知精神，结合我省远程医疗系统的建设基础，制定本方案，拟构建全省统一联动的新冠肺炎医疗保障体系，依托现有</w:t>
      </w:r>
      <w:r>
        <w:rPr>
          <w:rFonts w:hint="eastAsia" w:ascii="宋体" w:hAnsi="宋体" w:eastAsia="宋体" w:cs="宋体"/>
          <w:color w:val="000000" w:themeColor="text1"/>
          <w:spacing w:val="-4"/>
          <w:kern w:val="0"/>
          <w:sz w:val="24"/>
          <w:lang w:eastAsia="zh-CN"/>
          <w14:textFill>
            <w14:solidFill>
              <w14:schemeClr w14:val="tx1"/>
            </w14:solidFill>
          </w14:textFill>
        </w:rPr>
        <w:t>安徽省</w:t>
      </w:r>
      <w:r>
        <w:rPr>
          <w:rFonts w:hint="eastAsia" w:ascii="宋体" w:hAnsi="宋体" w:eastAsia="宋体" w:cs="宋体"/>
          <w:color w:val="000000" w:themeColor="text1"/>
          <w:spacing w:val="-4"/>
          <w:kern w:val="0"/>
          <w:sz w:val="24"/>
          <w:lang w:val="en-US" w:eastAsia="zh-CN"/>
          <w14:textFill>
            <w14:solidFill>
              <w14:schemeClr w14:val="tx1"/>
            </w14:solidFill>
          </w14:textFill>
        </w:rPr>
        <w:t>卫健委新冠肺炎远程多学科会诊平台及中科大附一院远程诊断与会诊转诊平台</w:t>
      </w:r>
      <w:r>
        <w:rPr>
          <w:rFonts w:hint="eastAsia" w:ascii="宋体" w:hAnsi="宋体" w:eastAsia="宋体"/>
          <w:sz w:val="24"/>
        </w:rPr>
        <w:t>实施新冠肺炎区域医疗协同保障工作。</w:t>
      </w:r>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建设目标</w:t>
      </w:r>
    </w:p>
    <w:p>
      <w:pPr>
        <w:pStyle w:val="10"/>
        <w:spacing w:before="156" w:beforeLines="50" w:after="156" w:afterLines="50" w:line="360" w:lineRule="auto"/>
        <w:ind w:firstLine="480"/>
        <w:rPr>
          <w:rFonts w:hint="eastAsia" w:ascii="宋体" w:hAnsi="宋体" w:eastAsia="宋体"/>
          <w:sz w:val="24"/>
        </w:rPr>
      </w:pPr>
      <w:r>
        <w:rPr>
          <w:rFonts w:hint="eastAsia" w:ascii="宋体" w:hAnsi="宋体" w:eastAsia="宋体" w:cs="宋体"/>
          <w:color w:val="000000" w:themeColor="text1"/>
          <w:spacing w:val="-4"/>
          <w:kern w:val="0"/>
          <w:sz w:val="24"/>
          <w14:textFill>
            <w14:solidFill>
              <w14:schemeClr w14:val="tx1"/>
            </w14:solidFill>
          </w14:textFill>
        </w:rPr>
        <w:t>充分发挥省、市级医疗机构的区域龙头作用，依托其优势医疗专科能力，</w:t>
      </w:r>
      <w:r>
        <w:rPr>
          <w:rFonts w:hint="eastAsia" w:ascii="宋体" w:hAnsi="宋体" w:eastAsia="宋体" w:cs="宋体"/>
          <w:color w:val="000000" w:themeColor="text1"/>
          <w:spacing w:val="-4"/>
          <w:kern w:val="0"/>
          <w:sz w:val="24"/>
          <w:lang w:val="en-US" w:eastAsia="zh-CN"/>
          <w14:textFill>
            <w14:solidFill>
              <w14:schemeClr w14:val="tx1"/>
            </w14:solidFill>
          </w14:textFill>
        </w:rPr>
        <w:t>着重为</w:t>
      </w:r>
      <w:r>
        <w:rPr>
          <w:rFonts w:hint="eastAsia" w:ascii="宋体" w:hAnsi="宋体" w:eastAsia="宋体" w:cs="宋体"/>
          <w:color w:val="000000" w:themeColor="text1"/>
          <w:spacing w:val="-4"/>
          <w:kern w:val="0"/>
          <w:sz w:val="24"/>
          <w14:textFill>
            <w14:solidFill>
              <w14:schemeClr w14:val="tx1"/>
            </w14:solidFill>
          </w14:textFill>
        </w:rPr>
        <w:t>合并基础疾病的重症感染者提供远程多学科联合会诊服务，构建覆盖</w:t>
      </w:r>
      <w:r>
        <w:rPr>
          <w:rFonts w:hint="eastAsia" w:ascii="宋体" w:hAnsi="宋体" w:eastAsia="宋体" w:cs="宋体"/>
          <w:color w:val="000000" w:themeColor="text1"/>
          <w:spacing w:val="-4"/>
          <w:kern w:val="0"/>
          <w:sz w:val="24"/>
          <w:lang w:val="en-US" w:eastAsia="zh-CN"/>
          <w14:textFill>
            <w14:solidFill>
              <w14:schemeClr w14:val="tx1"/>
            </w14:solidFill>
          </w14:textFill>
        </w:rPr>
        <w:t>省市县二级</w:t>
      </w:r>
      <w:r>
        <w:rPr>
          <w:rFonts w:hint="eastAsia" w:ascii="宋体" w:hAnsi="宋体" w:eastAsia="宋体" w:cs="宋体"/>
          <w:color w:val="000000" w:themeColor="text1"/>
          <w:spacing w:val="-4"/>
          <w:kern w:val="0"/>
          <w:sz w:val="24"/>
          <w14:textFill>
            <w14:solidFill>
              <w14:schemeClr w14:val="tx1"/>
            </w14:solidFill>
          </w14:textFill>
        </w:rPr>
        <w:t>医疗机构“优势互补、各有侧重、区域联动”的远程医疗保障体系，通过远程会诊、远程门诊、远程查房、远程培训等远程医疗服务的开展，提升全省整体新冠肺炎服务和保障能力。</w:t>
      </w:r>
    </w:p>
    <w:p>
      <w:pPr>
        <w:pStyle w:val="2"/>
        <w:numPr>
          <w:ilvl w:val="0"/>
          <w:numId w:val="1"/>
        </w:numPr>
        <w:tabs>
          <w:tab w:val="left" w:pos="567"/>
        </w:tabs>
        <w:spacing w:before="120" w:after="120" w:line="480" w:lineRule="auto"/>
        <w:ind w:left="482" w:hanging="482" w:hangingChars="200"/>
        <w:rPr>
          <w:sz w:val="24"/>
        </w:rPr>
      </w:pPr>
      <w:r>
        <w:rPr>
          <w:rFonts w:hint="eastAsia"/>
          <w:sz w:val="24"/>
        </w:rPr>
        <w:t>建设内容</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一</w:t>
      </w: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14:textFill>
            <w14:solidFill>
              <w14:schemeClr w14:val="tx1"/>
            </w14:solidFill>
          </w14:textFill>
        </w:rPr>
        <w:t>基于</w:t>
      </w:r>
      <w:r>
        <w:rPr>
          <w:rFonts w:hint="eastAsia" w:ascii="宋体" w:hAnsi="宋体" w:eastAsia="宋体" w:cs="宋体"/>
          <w:color w:val="000000" w:themeColor="text1"/>
          <w:spacing w:val="-4"/>
          <w:kern w:val="0"/>
          <w:sz w:val="24"/>
          <w:lang w:eastAsia="zh-CN"/>
          <w14:textFill>
            <w14:solidFill>
              <w14:schemeClr w14:val="tx1"/>
            </w14:solidFill>
          </w14:textFill>
        </w:rPr>
        <w:t>安徽省</w:t>
      </w:r>
      <w:r>
        <w:rPr>
          <w:rFonts w:hint="eastAsia" w:ascii="宋体" w:hAnsi="宋体" w:eastAsia="宋体" w:cs="宋体"/>
          <w:color w:val="000000" w:themeColor="text1"/>
          <w:spacing w:val="-4"/>
          <w:kern w:val="0"/>
          <w:sz w:val="24"/>
          <w14:textFill>
            <w14:solidFill>
              <w14:schemeClr w14:val="tx1"/>
            </w14:solidFill>
          </w14:textFill>
        </w:rPr>
        <w:t>远程医疗服务平台现有功能，围绕新冠肺炎全省联动保障的具体业务需求，进行必要的</w:t>
      </w:r>
      <w:r>
        <w:rPr>
          <w:rFonts w:hint="eastAsia" w:ascii="宋体" w:hAnsi="宋体" w:eastAsia="宋体"/>
          <w:sz w:val="24"/>
        </w:rPr>
        <w:t>功能</w:t>
      </w:r>
      <w:r>
        <w:rPr>
          <w:rFonts w:hint="eastAsia" w:ascii="宋体" w:hAnsi="宋体" w:eastAsia="宋体" w:cs="宋体"/>
          <w:color w:val="000000" w:themeColor="text1"/>
          <w:spacing w:val="-4"/>
          <w:kern w:val="0"/>
          <w:sz w:val="24"/>
          <w14:textFill>
            <w14:solidFill>
              <w14:schemeClr w14:val="tx1"/>
            </w14:solidFill>
          </w14:textFill>
        </w:rPr>
        <w:t>升级和完善，满足全省各级医疗机构开展远程医疗服务的需要。具体包括：</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（1）实现远程多学科会诊功能，省市级医疗机构专家在线保障，即时响应基层高危感染者多学科联合会诊的业务需要；</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2</w:t>
      </w:r>
      <w:r>
        <w:rPr>
          <w:rFonts w:hint="eastAsia" w:ascii="宋体" w:hAnsi="宋体" w:eastAsia="宋体"/>
          <w:sz w:val="24"/>
        </w:rPr>
        <w:t>）完善远程查房功能，满足院内、院外面向ICU病房、方舱医院开展远程查房业务需要；</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3</w:t>
      </w:r>
      <w:r>
        <w:rPr>
          <w:rFonts w:hint="eastAsia" w:ascii="宋体" w:hAnsi="宋体" w:eastAsia="宋体"/>
          <w:sz w:val="24"/>
        </w:rPr>
        <w:t>）完善远程教育功能，实现手机app、小程序等移动端应用，方便基层医务人员随时学习；</w:t>
      </w:r>
    </w:p>
    <w:p>
      <w:pPr>
        <w:spacing w:before="156" w:beforeLines="50" w:after="156" w:afterLines="50" w:line="360" w:lineRule="auto"/>
        <w:ind w:firstLine="480" w:firstLineChars="200"/>
        <w:rPr>
          <w:rFonts w:hint="eastAsia" w:ascii="宋体" w:hAnsi="宋体" w:eastAsia="宋体"/>
          <w:sz w:val="24"/>
        </w:rPr>
      </w:pPr>
      <w:r>
        <w:rPr>
          <w:rFonts w:hint="eastAsia" w:ascii="宋体" w:hAnsi="宋体" w:eastAsia="宋体"/>
          <w:sz w:val="24"/>
        </w:rPr>
        <w:t>（</w:t>
      </w:r>
      <w:r>
        <w:rPr>
          <w:rFonts w:hint="eastAsia" w:ascii="宋体" w:hAnsi="宋体" w:eastAsia="宋体"/>
          <w:sz w:val="24"/>
          <w:lang w:val="en-US" w:eastAsia="zh-CN"/>
        </w:rPr>
        <w:t>4</w:t>
      </w:r>
      <w:r>
        <w:rPr>
          <w:rFonts w:hint="eastAsia" w:ascii="宋体" w:hAnsi="宋体" w:eastAsia="宋体"/>
          <w:sz w:val="24"/>
        </w:rPr>
        <w:t>）视讯平台进行必要扩容，支撑全省各级用户的视频接入和业务应用需要。</w:t>
      </w:r>
    </w:p>
    <w:p>
      <w:pPr>
        <w:spacing w:before="156" w:beforeLines="50" w:after="156" w:afterLines="50" w:line="360" w:lineRule="auto"/>
        <w:ind w:firstLine="464" w:firstLineChars="200"/>
        <w:rPr>
          <w:rFonts w:hint="eastAsia" w:ascii="宋体" w:hAnsi="宋体" w:eastAsia="宋体"/>
          <w:sz w:val="24"/>
        </w:rPr>
      </w:pP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二</w:t>
      </w:r>
      <w:r>
        <w:rPr>
          <w:rFonts w:hint="eastAsia" w:ascii="宋体" w:hAnsi="宋体" w:eastAsia="宋体" w:cs="宋体"/>
          <w:color w:val="000000" w:themeColor="text1"/>
          <w:spacing w:val="-4"/>
          <w:kern w:val="0"/>
          <w:sz w:val="24"/>
          <w:lang w:eastAsia="zh-CN"/>
          <w14:textFill>
            <w14:solidFill>
              <w14:schemeClr w14:val="tx1"/>
            </w14:solidFill>
          </w14:textFill>
        </w:rPr>
        <w:t>）</w:t>
      </w:r>
      <w:r>
        <w:rPr>
          <w:rFonts w:hint="eastAsia" w:ascii="宋体" w:hAnsi="宋体" w:eastAsia="宋体" w:cs="宋体"/>
          <w:color w:val="000000" w:themeColor="text1"/>
          <w:spacing w:val="-4"/>
          <w:kern w:val="0"/>
          <w:sz w:val="24"/>
          <w:lang w:val="en-US" w:eastAsia="zh-CN"/>
          <w14:textFill>
            <w14:solidFill>
              <w14:schemeClr w14:val="tx1"/>
            </w14:solidFill>
          </w14:textFill>
        </w:rPr>
        <w:t>相关机构</w:t>
      </w:r>
      <w:r>
        <w:rPr>
          <w:rFonts w:hint="eastAsia" w:ascii="宋体" w:hAnsi="宋体" w:eastAsia="宋体"/>
          <w:sz w:val="24"/>
        </w:rPr>
        <w:t>针对本院优势科室，部署远程会诊专家工作站，面向基层医疗机构提供多学科远程会诊、疑难疾病远程会诊等远程医疗服务。</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系统介绍</w:t>
      </w:r>
    </w:p>
    <w:p>
      <w:pPr>
        <w:pStyle w:val="10"/>
        <w:numPr>
          <w:ilvl w:val="0"/>
          <w:numId w:val="0"/>
        </w:numPr>
        <w:spacing w:before="156" w:beforeLines="50" w:after="156" w:afterLines="50" w:line="360" w:lineRule="auto"/>
        <w:rPr>
          <w:rFonts w:hint="default" w:ascii="宋体" w:hAnsi="宋体" w:eastAsia="宋体" w:cs="宋体"/>
          <w:b/>
          <w:color w:val="000000" w:themeColor="text1"/>
          <w:spacing w:val="-4"/>
          <w:kern w:val="0"/>
          <w:sz w:val="24"/>
          <w:lang w:val="en-US"/>
          <w14:textFill>
            <w14:solidFill>
              <w14:schemeClr w14:val="tx1"/>
            </w14:solidFill>
          </w14:textFill>
        </w:rPr>
      </w:pPr>
      <w:r>
        <w:rPr>
          <w:rFonts w:hint="eastAsia" w:ascii="宋体" w:hAnsi="宋体" w:eastAsia="宋体" w:cs="宋体"/>
          <w:b/>
          <w:color w:val="000000" w:themeColor="text1"/>
          <w:spacing w:val="-4"/>
          <w:kern w:val="0"/>
          <w:sz w:val="24"/>
          <w:lang w:val="en-US" w:eastAsia="zh-CN"/>
          <w14:textFill>
            <w14:solidFill>
              <w14:schemeClr w14:val="tx1"/>
            </w14:solidFill>
          </w14:textFill>
        </w:rPr>
        <w:t>1、远程会诊系统软件</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按照实现方式，远程会诊包括交互式远程会诊和离线式远程会诊。</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1）交互式远程会诊。支持会诊专家与申请医生、患者间的实时交互式远程会诊；支持患者的临床需求，实现患者在病床上就能实时接受专家远程会诊服务；支持会诊专家对异地病床上的患者视频画面进行远程控制；针对危重症患者，支持床边监护仪等生命体征数据的实时传输，为会诊专家提供连续、动态的诊断依据。</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2）离线式远程会诊。支持会诊专家与申请医生间的非实时离线式远程会诊；支持申请医生提交会诊申请信息和病历资料；会诊专家根据实际情况，非实时浏览会诊申请信息和病理资料，并编写和发布会诊报告；申请医生再浏览会诊报告。</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按照实现功能，远程会诊系统可分为普通远程会诊与急重症远程会诊两类。基层医院的普通远程会诊系统部署在基层医院的远程会诊室，为全院的门诊和住院病人提供远程门诊会诊、远程预约会诊等普通远程会诊服务；急重症远程会诊系统部署在基层医院的急重症患者抢救科室或重症监护病房（ICU），为患者提供急重症远程会诊服务。</w:t>
      </w:r>
    </w:p>
    <w:p>
      <w:pPr>
        <w:spacing w:before="156" w:beforeLines="50" w:after="156" w:afterLines="50" w:line="360" w:lineRule="auto"/>
        <w:ind w:firstLine="464" w:firstLineChars="200"/>
        <w:rPr>
          <w:rFonts w:hint="eastAsia" w:ascii="宋体" w:hAnsi="宋体" w:eastAsia="宋体" w:cs="宋体"/>
          <w:color w:val="000000" w:themeColor="text1"/>
          <w:spacing w:val="-4"/>
          <w:kern w:val="0"/>
          <w:sz w:val="24"/>
          <w14:textFill>
            <w14:solidFill>
              <w14:schemeClr w14:val="tx1"/>
            </w14:solidFill>
          </w14:textFill>
        </w:rPr>
      </w:pPr>
      <w:r>
        <w:rPr>
          <w:rFonts w:hint="eastAsia" w:ascii="宋体" w:hAnsi="宋体" w:eastAsia="宋体" w:cs="宋体"/>
          <w:color w:val="000000" w:themeColor="text1"/>
          <w:spacing w:val="-4"/>
          <w:kern w:val="0"/>
          <w:sz w:val="24"/>
          <w14:textFill>
            <w14:solidFill>
              <w14:schemeClr w14:val="tx1"/>
            </w14:solidFill>
          </w14:textFill>
        </w:rPr>
        <w:t>远程会诊管理子系统用于远程会诊过程的管理，应基于B/S的架构设计，减少终端用户的维护工作量，增强系统的可扩展性.</w:t>
      </w:r>
    </w:p>
    <w:p>
      <w:pPr>
        <w:spacing w:before="156" w:beforeLines="50" w:after="156" w:afterLines="50" w:line="360" w:lineRule="auto"/>
        <w:ind w:firstLine="482" w:firstLineChars="200"/>
        <w:rPr>
          <w:rFonts w:hint="eastAsia" w:ascii="宋体" w:hAnsi="宋体" w:cs="宋体" w:eastAsiaTheme="minorEastAsia"/>
          <w:b/>
          <w:bCs/>
          <w:color w:val="000000" w:themeColor="text1"/>
          <w:spacing w:val="-4"/>
          <w:kern w:val="0"/>
          <w:sz w:val="24"/>
          <w:lang w:eastAsia="zh-CN"/>
          <w14:textFill>
            <w14:solidFill>
              <w14:schemeClr w14:val="tx1"/>
            </w14:solidFill>
          </w14:textFill>
        </w:rPr>
      </w:pPr>
      <w:r>
        <w:rPr>
          <w:rFonts w:hint="eastAsia" w:ascii="宋体" w:hAnsi="宋体" w:cs="Arial"/>
          <w:b/>
          <w:bCs/>
          <w:kern w:val="0"/>
          <w:sz w:val="24"/>
          <w:lang w:bidi="en-US"/>
        </w:rPr>
        <w:t>病历资料采集</w:t>
      </w:r>
      <w:r>
        <w:rPr>
          <w:rFonts w:hint="eastAsia" w:ascii="宋体" w:hAnsi="宋体" w:cs="Arial"/>
          <w:b/>
          <w:bCs/>
          <w:kern w:val="0"/>
          <w:sz w:val="24"/>
          <w:lang w:eastAsia="zh-CN" w:bidi="en-US"/>
        </w:rPr>
        <w:t>：</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病历资料采集子系统包括对影像资料的采集和对电子病例资料的采集。其中，对影像资料的采集包括对模拟信号、数字信号、实时信号的处理。系统的主要功能如下：</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（1）模拟信号处理。病人的胶片及纸质病历、化验单、图文报告等通过扫描方式实现数字化。系统支持扫描文件的传输、存储和阅读，支持病历资料的手工录入。</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胶片资料。建议胶片使用医学专用扫描仪处理，能支持输出为DICOM 3.0影像文件。</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纸质资料。纸质资料使用普通平板扫描仪处理，扫描文件以JPEG格式保存。</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（2）数字信号处理。系统应支持借助DICOM网关从具有DICOM 3.0接口的影像设备获取患者的影像资料，也应支持自PACS图文工作站导入DICOM 3.0影像。</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（3）实时生命体征信号处理。系统支持床边呼吸机、监护仪等生命体征数据的实时采集与传输，实现对患者进行24小时不间断的连续、动态观察。</w:t>
      </w:r>
    </w:p>
    <w:p>
      <w:pPr>
        <w:spacing w:line="360" w:lineRule="auto"/>
        <w:ind w:left="420"/>
        <w:rPr>
          <w:rFonts w:ascii="宋体" w:hAnsi="宋体" w:cs="Arial"/>
          <w:kern w:val="0"/>
          <w:sz w:val="24"/>
          <w:lang w:bidi="en-US"/>
        </w:rPr>
      </w:pPr>
      <w:r>
        <w:rPr>
          <w:rFonts w:hint="eastAsia" w:ascii="宋体" w:hAnsi="宋体" w:cs="Arial"/>
          <w:kern w:val="0"/>
          <w:sz w:val="24"/>
          <w:lang w:bidi="en-US"/>
        </w:rPr>
        <w:t>（4）电子病历采集功能。</w:t>
      </w:r>
    </w:p>
    <w:p>
      <w:pPr>
        <w:spacing w:line="360" w:lineRule="auto"/>
        <w:ind w:left="420" w:leftChars="200" w:firstLine="480"/>
        <w:rPr>
          <w:rFonts w:ascii="宋体" w:hAnsi="宋体" w:cs="Arial"/>
          <w:kern w:val="0"/>
          <w:sz w:val="24"/>
          <w:lang w:bidi="en-US"/>
        </w:rPr>
      </w:pPr>
      <w:r>
        <w:rPr>
          <w:rFonts w:hint="eastAsia" w:ascii="宋体" w:hAnsi="宋体" w:cs="Arial"/>
          <w:kern w:val="0"/>
          <w:sz w:val="24"/>
          <w:lang w:bidi="en-US"/>
        </w:rPr>
        <w:t>通过电子病历与医学影像采集网关，从医院现有信息化系统中提取电子病历，病历资料包括文字信息（含首页、病程记录、医嘱、检查检验报告等）。</w:t>
      </w:r>
    </w:p>
    <w:p>
      <w:pPr>
        <w:widowControl/>
        <w:spacing w:line="360" w:lineRule="auto"/>
        <w:ind w:left="357" w:firstLine="420"/>
        <w:jc w:val="left"/>
        <w:rPr>
          <w:rFonts w:ascii="宋体" w:hAnsi="宋体" w:cs="Arial"/>
          <w:kern w:val="0"/>
          <w:sz w:val="24"/>
          <w:lang w:bidi="en-US"/>
        </w:rPr>
      </w:pPr>
      <w:r>
        <w:rPr>
          <w:rFonts w:hint="eastAsia" w:ascii="宋体" w:hAnsi="宋体" w:cs="Arial"/>
          <w:kern w:val="0"/>
          <w:sz w:val="24"/>
          <w:lang w:bidi="en-US"/>
        </w:rPr>
        <w:t>文字信息的传输采用</w:t>
      </w:r>
      <w:r>
        <w:rPr>
          <w:rFonts w:ascii="宋体" w:hAnsi="宋体" w:cs="Arial"/>
          <w:kern w:val="0"/>
          <w:sz w:val="24"/>
          <w:lang w:bidi="en-US"/>
        </w:rPr>
        <w:t>HL7 Message</w:t>
      </w:r>
      <w:r>
        <w:rPr>
          <w:rFonts w:hint="eastAsia" w:ascii="宋体" w:hAnsi="宋体" w:cs="Arial"/>
          <w:kern w:val="0"/>
          <w:sz w:val="24"/>
          <w:lang w:bidi="en-US"/>
        </w:rPr>
        <w:t>方式或其它方式。</w:t>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bidi="en-US"/>
        </w:rPr>
        <w:t>病历资料采集截图：</w:t>
      </w:r>
    </w:p>
    <w:p>
      <w:pPr>
        <w:widowControl/>
        <w:spacing w:line="360" w:lineRule="auto"/>
        <w:rPr>
          <w:rFonts w:ascii="宋体" w:hAnsi="宋体" w:cs="Arial"/>
          <w:kern w:val="0"/>
          <w:sz w:val="24"/>
          <w:lang w:bidi="en-US"/>
        </w:rPr>
      </w:pPr>
      <w:r>
        <w:drawing>
          <wp:inline distT="0" distB="0" distL="114300" distR="114300">
            <wp:extent cx="5272405" cy="2441575"/>
            <wp:effectExtent l="0" t="0" r="444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2405" cy="2441575"/>
                    </a:xfrm>
                    <a:prstGeom prst="rect">
                      <a:avLst/>
                    </a:prstGeom>
                    <a:noFill/>
                    <a:ln>
                      <a:noFill/>
                    </a:ln>
                  </pic:spPr>
                </pic:pic>
              </a:graphicData>
            </a:graphic>
          </wp:inline>
        </w:drawing>
      </w:r>
    </w:p>
    <w:p>
      <w:pPr>
        <w:widowControl/>
        <w:spacing w:line="360" w:lineRule="auto"/>
        <w:ind w:firstLine="480" w:firstLineChars="200"/>
        <w:rPr>
          <w:rFonts w:ascii="宋体" w:hAnsi="宋体" w:cs="Arial"/>
          <w:kern w:val="0"/>
          <w:sz w:val="24"/>
          <w:lang w:bidi="en-US"/>
        </w:rPr>
      </w:pPr>
      <w:r>
        <w:rPr>
          <w:rFonts w:hint="eastAsia" w:ascii="宋体" w:hAnsi="宋体" w:cs="Arial"/>
          <w:kern w:val="0"/>
          <w:sz w:val="24"/>
          <w:lang w:val="en-US" w:eastAsia="zh-CN" w:bidi="en-US"/>
        </w:rPr>
        <w:t>医学</w:t>
      </w:r>
      <w:r>
        <w:rPr>
          <w:rFonts w:hint="eastAsia" w:ascii="宋体" w:hAnsi="宋体" w:cs="Arial"/>
          <w:kern w:val="0"/>
          <w:sz w:val="24"/>
          <w:lang w:bidi="en-US"/>
        </w:rPr>
        <w:t>影像截图：</w:t>
      </w:r>
    </w:p>
    <w:p>
      <w:pPr>
        <w:widowControl/>
        <w:spacing w:line="360" w:lineRule="auto"/>
        <w:jc w:val="center"/>
        <w:rPr>
          <w:rFonts w:ascii="宋体" w:hAnsi="宋体" w:cs="Arial"/>
          <w:kern w:val="0"/>
          <w:sz w:val="24"/>
          <w:lang w:bidi="en-US"/>
        </w:rPr>
      </w:pPr>
      <w:r>
        <w:drawing>
          <wp:inline distT="0" distB="0" distL="114300" distR="114300">
            <wp:extent cx="5266690" cy="2402840"/>
            <wp:effectExtent l="0" t="0" r="10160" b="165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266690" cy="2402840"/>
                    </a:xfrm>
                    <a:prstGeom prst="rect">
                      <a:avLst/>
                    </a:prstGeom>
                    <a:noFill/>
                    <a:ln>
                      <a:noFill/>
                    </a:ln>
                  </pic:spPr>
                </pic:pic>
              </a:graphicData>
            </a:graphic>
          </wp:inline>
        </w:drawing>
      </w:r>
    </w:p>
    <w:p>
      <w:pPr>
        <w:numPr>
          <w:ilvl w:val="0"/>
          <w:numId w:val="0"/>
        </w:numPr>
        <w:spacing w:before="156" w:beforeLines="50" w:after="156" w:afterLines="50" w:line="360" w:lineRule="auto"/>
        <w:ind w:leftChars="0"/>
        <w:rPr>
          <w:rFonts w:hint="default" w:ascii="宋体" w:hAnsi="宋体" w:eastAsia="宋体" w:cs="宋体"/>
          <w:b/>
          <w:bCs/>
          <w:color w:val="000000" w:themeColor="text1"/>
          <w:spacing w:val="-4"/>
          <w:kern w:val="0"/>
          <w:sz w:val="24"/>
          <w:lang w:val="en-US" w:eastAsia="zh-CN"/>
          <w14:textFill>
            <w14:solidFill>
              <w14:schemeClr w14:val="tx1"/>
            </w14:solidFill>
          </w14:textFill>
        </w:rPr>
      </w:pPr>
      <w:r>
        <w:rPr>
          <w:rFonts w:hint="eastAsia" w:ascii="宋体" w:hAnsi="宋体" w:eastAsia="宋体" w:cs="宋体"/>
          <w:b/>
          <w:bCs/>
          <w:color w:val="000000" w:themeColor="text1"/>
          <w:spacing w:val="-4"/>
          <w:kern w:val="0"/>
          <w:sz w:val="24"/>
          <w:lang w:val="en-US" w:eastAsia="zh-CN"/>
          <w14:textFill>
            <w14:solidFill>
              <w14:schemeClr w14:val="tx1"/>
            </w14:solidFill>
          </w14:textFill>
        </w:rPr>
        <w:t>2、远程会诊系统硬件</w:t>
      </w:r>
    </w:p>
    <w:p>
      <w:pPr>
        <w:numPr>
          <w:ilvl w:val="0"/>
          <w:numId w:val="0"/>
        </w:numPr>
        <w:spacing w:before="156" w:beforeLines="50" w:after="156" w:afterLines="50" w:line="360" w:lineRule="auto"/>
        <w:ind w:leftChars="0" w:firstLine="464" w:firstLineChars="20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高清视音频交互</w:t>
      </w: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终端</w:t>
      </w: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为远程会诊服务提供音视频交互功能，其主要功能如下：</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（1）支持医学专家与申请医院医生、病人的远程互动交流、会诊。支持危重症患者的床边需求，患者在病床上就能实时接受专家远程会诊、远程监护服务。</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（2）支持会诊申请医院与专家医院间开展远程会诊服务；支持跨专科、跨机构、跨区域的多专家同时对同一基层患者进行实时联合会诊。</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（3）开展远程教育，支持授课专家音视频和课件幻灯的同步，双方可互动交流，支持培训过程的实况转播和录像。</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（4）支持各医疗机构间的高清视频会议，满足医疗机构间学术交流、病例讨论、经验分享等业务需求。</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系统技术要求：</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（1）采用基于IP网络的高清视频会议系统。</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（2）硬件视频会议采用H.323协议框架技术，同时支持H.26</w:t>
      </w: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5、H.264</w:t>
      </w: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等主流音视频协议。</w:t>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r>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t>（3）解像度：支持高清版可以支持至1920*1080的视频分辨率。</w:t>
      </w:r>
    </w:p>
    <w:p>
      <w:pPr>
        <w:numPr>
          <w:ilvl w:val="0"/>
          <w:numId w:val="0"/>
        </w:numPr>
        <w:spacing w:before="156" w:beforeLines="50" w:after="156" w:afterLines="50" w:line="360" w:lineRule="auto"/>
        <w:ind w:leftChars="0"/>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pPr>
      <w:r>
        <w:rPr>
          <w:rFonts w:hint="eastAsia" w:ascii="宋体" w:hAnsi="宋体" w:eastAsia="宋体" w:cs="宋体"/>
          <w:b w:val="0"/>
          <w:bCs w:val="0"/>
          <w:color w:val="000000" w:themeColor="text1"/>
          <w:spacing w:val="-4"/>
          <w:kern w:val="0"/>
          <w:sz w:val="24"/>
          <w:lang w:val="en-US" w:eastAsia="zh-CN"/>
          <w14:textFill>
            <w14:solidFill>
              <w14:schemeClr w14:val="tx1"/>
            </w14:solidFill>
          </w14:textFill>
        </w:rPr>
        <w:t xml:space="preserve">  分体式高清视频终端截图：</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114300" distR="114300">
            <wp:extent cx="2758440" cy="1623060"/>
            <wp:effectExtent l="0" t="0" r="3810" b="152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2758440" cy="1623060"/>
                    </a:xfrm>
                    <a:prstGeom prst="rect">
                      <a:avLst/>
                    </a:prstGeom>
                    <a:noFill/>
                    <a:ln>
                      <a:noFill/>
                    </a:ln>
                  </pic:spPr>
                </pic:pic>
              </a:graphicData>
            </a:graphic>
          </wp:inline>
        </w:drawing>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drawing>
          <wp:inline distT="0" distB="0" distL="0" distR="0">
            <wp:extent cx="4772025" cy="945515"/>
            <wp:effectExtent l="0" t="0" r="9525" b="6985"/>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802862" cy="951783"/>
                    </a:xfrm>
                    <a:prstGeom prst="rect">
                      <a:avLst/>
                    </a:prstGeom>
                  </pic:spPr>
                </pic:pic>
              </a:graphicData>
            </a:graphic>
          </wp:inline>
        </w:drawing>
      </w:r>
    </w:p>
    <w:p>
      <w:pPr>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drawing>
          <wp:inline distT="0" distB="0" distL="0" distR="0">
            <wp:extent cx="3969385" cy="2621915"/>
            <wp:effectExtent l="0" t="0" r="12065" b="698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978057" cy="2621915"/>
                    </a:xfrm>
                    <a:prstGeom prst="rect">
                      <a:avLst/>
                    </a:prstGeom>
                  </pic:spPr>
                </pic:pic>
              </a:graphicData>
            </a:graphic>
          </wp:inline>
        </w:drawing>
      </w: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Pr>
        <w:numPr>
          <w:ilvl w:val="0"/>
          <w:numId w:val="0"/>
        </w:numPr>
        <w:spacing w:before="156" w:beforeLines="50" w:after="156" w:afterLines="50" w:line="360" w:lineRule="auto"/>
        <w:ind w:leftChars="0"/>
        <w:rPr>
          <w:rFonts w:hint="default" w:ascii="宋体" w:hAnsi="宋体" w:eastAsia="宋体" w:cs="宋体"/>
          <w:b w:val="0"/>
          <w:bCs w:val="0"/>
          <w:color w:val="000000" w:themeColor="text1"/>
          <w:spacing w:val="-4"/>
          <w:kern w:val="0"/>
          <w:sz w:val="24"/>
          <w:lang w:val="en-US" w:eastAsia="zh-CN"/>
          <w14:textFill>
            <w14:solidFill>
              <w14:schemeClr w14:val="tx1"/>
            </w14:solidFill>
          </w14:textFill>
        </w:rPr>
      </w:pPr>
    </w:p>
    <w:p/>
    <w:p>
      <w:pPr>
        <w:pStyle w:val="2"/>
        <w:numPr>
          <w:ilvl w:val="0"/>
          <w:numId w:val="1"/>
        </w:numPr>
        <w:tabs>
          <w:tab w:val="left" w:pos="567"/>
        </w:tabs>
        <w:spacing w:before="120" w:after="120" w:line="480" w:lineRule="auto"/>
        <w:ind w:left="482" w:hanging="482" w:hangingChars="200"/>
        <w:rPr>
          <w:sz w:val="24"/>
        </w:rPr>
      </w:pPr>
      <w:r>
        <w:rPr>
          <w:rFonts w:hint="eastAsia"/>
          <w:sz w:val="24"/>
          <w:lang w:val="en-US" w:eastAsia="zh-CN"/>
        </w:rPr>
        <w:t>本期配置清单参数及报价</w:t>
      </w:r>
    </w:p>
    <w:p/>
    <w:tbl>
      <w:tblPr>
        <w:tblStyle w:val="5"/>
        <w:tblW w:w="1082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830"/>
        <w:gridCol w:w="1080"/>
        <w:gridCol w:w="3402"/>
        <w:gridCol w:w="1020"/>
        <w:gridCol w:w="105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0" w:type="dxa"/>
            <w:tcBorders>
              <w:top w:val="single" w:color="000000" w:sz="8" w:space="0"/>
              <w:left w:val="single" w:color="000000" w:sz="8"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序号</w:t>
            </w:r>
          </w:p>
        </w:tc>
        <w:tc>
          <w:tcPr>
            <w:tcW w:w="1830" w:type="dxa"/>
            <w:tcBorders>
              <w:top w:val="single" w:color="000000" w:sz="8" w:space="0"/>
              <w:left w:val="single" w:color="000000" w:sz="4" w:space="0"/>
              <w:bottom w:val="nil"/>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产品名称</w:t>
            </w:r>
          </w:p>
        </w:tc>
        <w:tc>
          <w:tcPr>
            <w:tcW w:w="1080" w:type="dxa"/>
            <w:tcBorders>
              <w:top w:val="single" w:color="000000" w:sz="8"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数量</w:t>
            </w:r>
          </w:p>
        </w:tc>
        <w:tc>
          <w:tcPr>
            <w:tcW w:w="3402"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配置型号</w:t>
            </w:r>
          </w:p>
        </w:tc>
        <w:tc>
          <w:tcPr>
            <w:tcW w:w="1020"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w:t>
            </w:r>
          </w:p>
        </w:tc>
        <w:tc>
          <w:tcPr>
            <w:tcW w:w="1050" w:type="dxa"/>
            <w:tcBorders>
              <w:top w:val="single" w:color="000000" w:sz="8"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数量</w:t>
            </w:r>
          </w:p>
        </w:tc>
        <w:tc>
          <w:tcPr>
            <w:tcW w:w="1365" w:type="dxa"/>
            <w:tcBorders>
              <w:top w:val="single" w:color="000000" w:sz="8" w:space="0"/>
              <w:left w:val="single" w:color="000000" w:sz="4" w:space="0"/>
              <w:bottom w:val="nil"/>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远程会诊软件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蓝卫通远程会诊管理软件V3.0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365"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远程会诊硬件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科达分体式终端ZEN ZX300L</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365"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47800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80"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3</w:t>
            </w:r>
          </w:p>
        </w:tc>
        <w:tc>
          <w:tcPr>
            <w:tcW w:w="183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合计</w:t>
            </w: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02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8"/>
                <w:szCs w:val="28"/>
                <w:u w:val="none"/>
                <w:lang w:val="en-US" w:eastAsia="zh-CN"/>
              </w:rPr>
              <w:t>147800</w:t>
            </w:r>
          </w:p>
        </w:tc>
      </w:tr>
    </w:tbl>
    <w:p>
      <w:pPr>
        <w:spacing w:line="360" w:lineRule="auto"/>
        <w:rPr>
          <w:rFonts w:hint="default"/>
          <w:lang w:val="en-US" w:eastAsia="zh-CN"/>
        </w:rPr>
        <w:sectPr>
          <w:footnotePr>
            <w:numFmt w:val="decimal"/>
          </w:footnotePr>
          <w:pgSz w:w="16838" w:h="11906" w:orient="landscape"/>
          <w:pgMar w:top="1800" w:right="1440" w:bottom="1800" w:left="1440" w:header="851" w:footer="992" w:gutter="0"/>
          <w:pgNumType w:fmt="decimal"/>
          <w:cols w:space="720" w:num="1"/>
          <w:docGrid w:type="lines" w:linePitch="312" w:charSpace="0"/>
        </w:sectPr>
      </w:pPr>
    </w:p>
    <w:p>
      <w:pPr>
        <w:pStyle w:val="10"/>
        <w:spacing w:before="156" w:beforeLines="50" w:after="156" w:afterLines="50" w:line="360" w:lineRule="auto"/>
        <w:ind w:left="0" w:leftChars="0" w:firstLine="0" w:firstLineChars="0"/>
        <w:rPr>
          <w:rFonts w:hint="eastAsia" w:ascii="宋体" w:hAnsi="宋体" w:eastAsia="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FC24E6"/>
    <w:multiLevelType w:val="multilevel"/>
    <w:tmpl w:val="0DFC24E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5YjgxYjlmNzhhODkyOTMxNzI2OWEwMzVjMjUyZDcifQ=="/>
  </w:docVars>
  <w:rsids>
    <w:rsidRoot w:val="00346090"/>
    <w:rsid w:val="00040439"/>
    <w:rsid w:val="000435ED"/>
    <w:rsid w:val="001E6950"/>
    <w:rsid w:val="002778E3"/>
    <w:rsid w:val="002C7F22"/>
    <w:rsid w:val="00346090"/>
    <w:rsid w:val="003537F1"/>
    <w:rsid w:val="003F1FCA"/>
    <w:rsid w:val="00432B86"/>
    <w:rsid w:val="004542DD"/>
    <w:rsid w:val="00487C9C"/>
    <w:rsid w:val="00527B72"/>
    <w:rsid w:val="00576716"/>
    <w:rsid w:val="005A4AA9"/>
    <w:rsid w:val="005A5BD8"/>
    <w:rsid w:val="005D3BE8"/>
    <w:rsid w:val="006F5747"/>
    <w:rsid w:val="007502CD"/>
    <w:rsid w:val="007C51DC"/>
    <w:rsid w:val="008A277D"/>
    <w:rsid w:val="00A111E8"/>
    <w:rsid w:val="00A33A75"/>
    <w:rsid w:val="00A53D44"/>
    <w:rsid w:val="00AB6AC1"/>
    <w:rsid w:val="00B2460F"/>
    <w:rsid w:val="00B37546"/>
    <w:rsid w:val="00C25E26"/>
    <w:rsid w:val="00CE51F1"/>
    <w:rsid w:val="00CF662B"/>
    <w:rsid w:val="00D11252"/>
    <w:rsid w:val="00D6107B"/>
    <w:rsid w:val="00E05039"/>
    <w:rsid w:val="00EC579B"/>
    <w:rsid w:val="024B4240"/>
    <w:rsid w:val="03316639"/>
    <w:rsid w:val="03526DD4"/>
    <w:rsid w:val="06C07699"/>
    <w:rsid w:val="0948440D"/>
    <w:rsid w:val="121759FD"/>
    <w:rsid w:val="12B53AE0"/>
    <w:rsid w:val="132B6F7E"/>
    <w:rsid w:val="14DA612A"/>
    <w:rsid w:val="196C4B68"/>
    <w:rsid w:val="1D7E307B"/>
    <w:rsid w:val="205A2C6C"/>
    <w:rsid w:val="23126441"/>
    <w:rsid w:val="2491022C"/>
    <w:rsid w:val="2A2D1834"/>
    <w:rsid w:val="2B77211E"/>
    <w:rsid w:val="2C5543D8"/>
    <w:rsid w:val="2DB355AA"/>
    <w:rsid w:val="30100BBD"/>
    <w:rsid w:val="30C3032E"/>
    <w:rsid w:val="30C9249B"/>
    <w:rsid w:val="342C74E7"/>
    <w:rsid w:val="3826565A"/>
    <w:rsid w:val="38865529"/>
    <w:rsid w:val="3D54106D"/>
    <w:rsid w:val="3DB225E0"/>
    <w:rsid w:val="3DEC2488"/>
    <w:rsid w:val="3EBF50CD"/>
    <w:rsid w:val="41345C35"/>
    <w:rsid w:val="43740377"/>
    <w:rsid w:val="452E229F"/>
    <w:rsid w:val="45684415"/>
    <w:rsid w:val="4AF60EA8"/>
    <w:rsid w:val="4F10078B"/>
    <w:rsid w:val="4F482C86"/>
    <w:rsid w:val="4F617C52"/>
    <w:rsid w:val="50A23F32"/>
    <w:rsid w:val="535935E2"/>
    <w:rsid w:val="53CC27A6"/>
    <w:rsid w:val="5CA3231D"/>
    <w:rsid w:val="5DE5267A"/>
    <w:rsid w:val="5F06411E"/>
    <w:rsid w:val="5F5504CC"/>
    <w:rsid w:val="61331257"/>
    <w:rsid w:val="61C566A5"/>
    <w:rsid w:val="62620B96"/>
    <w:rsid w:val="62EC2A99"/>
    <w:rsid w:val="6431707D"/>
    <w:rsid w:val="65176FDD"/>
    <w:rsid w:val="659F41BF"/>
    <w:rsid w:val="6645420C"/>
    <w:rsid w:val="66BF2BB3"/>
    <w:rsid w:val="6A3A1933"/>
    <w:rsid w:val="6AAD0411"/>
    <w:rsid w:val="6AAF54CA"/>
    <w:rsid w:val="6B4C088F"/>
    <w:rsid w:val="6DBD7C16"/>
    <w:rsid w:val="711C4031"/>
    <w:rsid w:val="7213624A"/>
    <w:rsid w:val="72141D2C"/>
    <w:rsid w:val="75AC7914"/>
    <w:rsid w:val="7BC12144"/>
    <w:rsid w:val="7E391C64"/>
    <w:rsid w:val="7FE42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qFormat/>
    <w:uiPriority w:val="9"/>
    <w:rPr>
      <w:b/>
      <w:bCs/>
      <w:kern w:val="44"/>
      <w:sz w:val="44"/>
      <w:szCs w:val="44"/>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9</Pages>
  <Words>2300</Words>
  <Characters>2400</Characters>
  <Lines>19</Lines>
  <Paragraphs>5</Paragraphs>
  <TotalTime>5</TotalTime>
  <ScaleCrop>false</ScaleCrop>
  <LinksUpToDate>false</LinksUpToDate>
  <CharactersWithSpaces>2407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2022-12-15T02:34:00Z</dcterms:created>
  <dc:creator>lenovo</dc:creator>
  <cp:lastModifiedBy>Administrator</cp:lastModifiedBy>
  <dcterms:modified xsi:type="dcterms:W3CDTF">2023-06-19T01:51:13Z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FA385FE857F14386ACF4B1015BFCFAB7_13</vt:lpwstr>
  </property>
</Properties>
</file>