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8" w:line="280" w:lineRule="exact"/>
      </w:pPr>
    </w:p>
    <w:p>
      <w:pPr>
        <w:spacing w:before="88" w:line="222" w:lineRule="auto"/>
        <w:ind w:left="719"/>
        <w:jc w:val="center"/>
        <w:rPr>
          <w:rFonts w:ascii="仿宋" w:hAnsi="仿宋" w:eastAsia="仿宋" w:cs="仿宋"/>
          <w:sz w:val="32"/>
          <w:szCs w:val="32"/>
        </w:rPr>
      </w:pPr>
      <w:r>
        <w:rPr>
          <w:rFonts w:ascii="仿宋" w:hAnsi="仿宋" w:eastAsia="仿宋" w:cs="仿宋"/>
          <w:spacing w:val="10"/>
          <w:sz w:val="32"/>
          <w:szCs w:val="32"/>
        </w:rPr>
        <w:t>马鞍山市人民医院零星工程设计项目参数</w:t>
      </w:r>
    </w:p>
    <w:p>
      <w:pPr>
        <w:spacing w:line="267" w:lineRule="auto"/>
        <w:rPr>
          <w:rFonts w:ascii="Arial"/>
          <w:sz w:val="32"/>
          <w:szCs w:val="32"/>
        </w:rPr>
      </w:pPr>
    </w:p>
    <w:p>
      <w:pPr>
        <w:spacing w:line="267" w:lineRule="auto"/>
        <w:rPr>
          <w:rFonts w:ascii="Arial"/>
          <w:sz w:val="32"/>
          <w:szCs w:val="32"/>
        </w:rPr>
      </w:pPr>
    </w:p>
    <w:p>
      <w:pPr>
        <w:spacing w:before="82" w:line="222" w:lineRule="auto"/>
        <w:rPr>
          <w:rFonts w:ascii="仿宋" w:hAnsi="仿宋" w:eastAsia="仿宋" w:cs="仿宋"/>
          <w:sz w:val="28"/>
          <w:szCs w:val="28"/>
        </w:rPr>
      </w:pPr>
      <w:r>
        <w:rPr>
          <w:rFonts w:ascii="仿宋" w:hAnsi="仿宋" w:eastAsia="仿宋" w:cs="仿宋"/>
          <w:spacing w:val="-6"/>
          <w:sz w:val="28"/>
          <w:szCs w:val="28"/>
        </w:rPr>
        <w:t>投标方资质：工程设计乙级</w:t>
      </w:r>
      <w:r>
        <w:rPr>
          <w:rFonts w:hint="eastAsia" w:ascii="仿宋" w:hAnsi="仿宋" w:eastAsia="仿宋" w:cs="仿宋"/>
          <w:spacing w:val="-6"/>
          <w:sz w:val="28"/>
          <w:szCs w:val="28"/>
          <w:lang w:val="en-US" w:eastAsia="zh-CN"/>
        </w:rPr>
        <w:t>或以上</w:t>
      </w:r>
      <w:r>
        <w:rPr>
          <w:rFonts w:ascii="仿宋" w:hAnsi="仿宋" w:eastAsia="仿宋" w:cs="仿宋"/>
          <w:spacing w:val="-6"/>
          <w:sz w:val="28"/>
          <w:szCs w:val="28"/>
        </w:rPr>
        <w:t>资质</w:t>
      </w:r>
    </w:p>
    <w:p>
      <w:pPr>
        <w:spacing w:line="262" w:lineRule="auto"/>
        <w:rPr>
          <w:rFonts w:ascii="Arial"/>
          <w:sz w:val="28"/>
          <w:szCs w:val="28"/>
        </w:rPr>
      </w:pPr>
    </w:p>
    <w:p>
      <w:pPr>
        <w:spacing w:line="262" w:lineRule="auto"/>
        <w:rPr>
          <w:rFonts w:ascii="Arial"/>
          <w:sz w:val="28"/>
          <w:szCs w:val="28"/>
        </w:rPr>
      </w:pPr>
    </w:p>
    <w:p>
      <w:pPr>
        <w:spacing w:before="82" w:line="222" w:lineRule="auto"/>
        <w:rPr>
          <w:rFonts w:ascii="仿宋" w:hAnsi="仿宋" w:eastAsia="仿宋" w:cs="仿宋"/>
          <w:spacing w:val="12"/>
          <w:sz w:val="28"/>
          <w:szCs w:val="28"/>
        </w:rPr>
      </w:pPr>
      <w:r>
        <w:rPr>
          <w:rFonts w:ascii="仿宋" w:hAnsi="仿宋" w:eastAsia="仿宋" w:cs="仿宋"/>
          <w:spacing w:val="12"/>
          <w:sz w:val="28"/>
          <w:szCs w:val="28"/>
        </w:rPr>
        <w:t>服务期：3年。</w:t>
      </w:r>
    </w:p>
    <w:p>
      <w:pPr>
        <w:spacing w:before="82" w:line="222" w:lineRule="auto"/>
        <w:ind w:left="9"/>
        <w:rPr>
          <w:rFonts w:ascii="仿宋" w:hAnsi="仿宋" w:eastAsia="仿宋" w:cs="仿宋"/>
          <w:spacing w:val="12"/>
          <w:sz w:val="28"/>
          <w:szCs w:val="28"/>
        </w:rPr>
      </w:pPr>
    </w:p>
    <w:p>
      <w:pPr>
        <w:spacing w:before="82" w:line="222" w:lineRule="auto"/>
        <w:rPr>
          <w:rFonts w:hint="default" w:ascii="仿宋" w:hAnsi="仿宋" w:eastAsia="仿宋" w:cs="仿宋"/>
          <w:spacing w:val="12"/>
          <w:sz w:val="28"/>
          <w:szCs w:val="28"/>
          <w:lang w:val="en-US" w:eastAsia="zh-CN"/>
        </w:rPr>
      </w:pPr>
      <w:r>
        <w:rPr>
          <w:rFonts w:hint="eastAsia" w:ascii="仿宋" w:hAnsi="仿宋" w:eastAsia="仿宋" w:cs="仿宋"/>
          <w:spacing w:val="12"/>
          <w:sz w:val="28"/>
          <w:szCs w:val="28"/>
          <w:lang w:val="en-US" w:eastAsia="zh-CN"/>
        </w:rPr>
        <w:t>预算价：9万元/年</w:t>
      </w:r>
    </w:p>
    <w:p>
      <w:pPr>
        <w:spacing w:line="267" w:lineRule="auto"/>
        <w:rPr>
          <w:rFonts w:ascii="Arial"/>
          <w:sz w:val="28"/>
          <w:szCs w:val="28"/>
        </w:rPr>
      </w:pPr>
    </w:p>
    <w:p>
      <w:pPr>
        <w:spacing w:before="82" w:line="222" w:lineRule="auto"/>
        <w:rPr>
          <w:rFonts w:ascii="仿宋" w:hAnsi="仿宋" w:eastAsia="仿宋" w:cs="仿宋"/>
          <w:spacing w:val="4"/>
          <w:sz w:val="28"/>
          <w:szCs w:val="28"/>
        </w:rPr>
      </w:pPr>
      <w:r>
        <w:rPr>
          <w:rFonts w:ascii="仿宋" w:hAnsi="仿宋" w:eastAsia="仿宋" w:cs="仿宋"/>
          <w:spacing w:val="4"/>
          <w:sz w:val="28"/>
          <w:szCs w:val="28"/>
        </w:rPr>
        <w:t>服务内容：</w:t>
      </w:r>
    </w:p>
    <w:p>
      <w:pPr>
        <w:spacing w:before="82" w:line="222" w:lineRule="auto"/>
        <w:ind w:firstLine="596" w:firstLineChars="200"/>
        <w:rPr>
          <w:rFonts w:ascii="仿宋" w:hAnsi="仿宋" w:eastAsia="仿宋" w:cs="仿宋"/>
          <w:spacing w:val="14"/>
          <w:sz w:val="28"/>
          <w:szCs w:val="28"/>
        </w:rPr>
      </w:pPr>
      <w:r>
        <w:rPr>
          <w:rFonts w:ascii="仿宋" w:hAnsi="仿宋" w:eastAsia="仿宋" w:cs="仿宋"/>
          <w:spacing w:val="9"/>
          <w:sz w:val="28"/>
          <w:szCs w:val="28"/>
        </w:rPr>
        <w:t>中标方须对市人民医院零星工程进行施工图绘制，</w:t>
      </w:r>
      <w:r>
        <w:rPr>
          <w:rFonts w:ascii="仿宋" w:hAnsi="仿宋" w:eastAsia="仿宋" w:cs="仿宋"/>
          <w:spacing w:val="5"/>
          <w:sz w:val="28"/>
          <w:szCs w:val="28"/>
        </w:rPr>
        <w:t xml:space="preserve"> </w:t>
      </w:r>
      <w:r>
        <w:rPr>
          <w:rFonts w:ascii="仿宋" w:hAnsi="仿宋" w:eastAsia="仿宋" w:cs="仿宋"/>
          <w:spacing w:val="12"/>
          <w:sz w:val="28"/>
          <w:szCs w:val="28"/>
        </w:rPr>
        <w:t>并在工程发生变更时出具设计变更图，每个项目提</w:t>
      </w:r>
      <w:r>
        <w:rPr>
          <w:rFonts w:ascii="仿宋" w:hAnsi="仿宋" w:eastAsia="仿宋" w:cs="仿宋"/>
          <w:spacing w:val="11"/>
          <w:sz w:val="28"/>
          <w:szCs w:val="28"/>
        </w:rPr>
        <w:t>供</w:t>
      </w:r>
      <w:r>
        <w:rPr>
          <w:rFonts w:ascii="仿宋" w:hAnsi="仿宋" w:eastAsia="仿宋" w:cs="仿宋"/>
          <w:spacing w:val="14"/>
          <w:sz w:val="28"/>
          <w:szCs w:val="28"/>
        </w:rPr>
        <w:t>8套完整施工蓝图及电子版图纸。</w:t>
      </w:r>
    </w:p>
    <w:p>
      <w:pPr>
        <w:spacing w:line="223" w:lineRule="auto"/>
        <w:ind w:left="9"/>
        <w:rPr>
          <w:rFonts w:ascii="仿宋" w:hAnsi="仿宋" w:eastAsia="仿宋" w:cs="仿宋"/>
          <w:spacing w:val="14"/>
          <w:sz w:val="28"/>
          <w:szCs w:val="28"/>
        </w:rPr>
      </w:pPr>
    </w:p>
    <w:p>
      <w:pPr>
        <w:spacing w:line="223" w:lineRule="auto"/>
        <w:ind w:left="9"/>
        <w:rPr>
          <w:rFonts w:ascii="仿宋" w:hAnsi="仿宋" w:eastAsia="仿宋" w:cs="仿宋"/>
          <w:spacing w:val="12"/>
          <w:sz w:val="28"/>
          <w:szCs w:val="28"/>
        </w:rPr>
      </w:pPr>
      <w:r>
        <w:rPr>
          <w:rFonts w:ascii="仿宋" w:hAnsi="仿宋" w:eastAsia="仿宋" w:cs="仿宋"/>
          <w:spacing w:val="12"/>
          <w:sz w:val="28"/>
          <w:szCs w:val="28"/>
        </w:rPr>
        <w:t>付款方式：</w:t>
      </w:r>
    </w:p>
    <w:p>
      <w:pPr>
        <w:spacing w:line="223" w:lineRule="auto"/>
        <w:ind w:left="9" w:firstLine="608" w:firstLineChars="200"/>
        <w:rPr>
          <w:rFonts w:ascii="仿宋" w:hAnsi="仿宋" w:eastAsia="仿宋" w:cs="仿宋"/>
          <w:sz w:val="28"/>
          <w:szCs w:val="28"/>
        </w:rPr>
      </w:pPr>
      <w:r>
        <w:rPr>
          <w:rFonts w:ascii="仿宋" w:hAnsi="仿宋" w:eastAsia="仿宋" w:cs="仿宋"/>
          <w:spacing w:val="12"/>
          <w:sz w:val="28"/>
          <w:szCs w:val="28"/>
        </w:rPr>
        <w:t>如工程项目按图纸施工完毕并办理竣工手</w:t>
      </w:r>
      <w:r>
        <w:rPr>
          <w:rFonts w:ascii="仿宋" w:hAnsi="仿宋" w:eastAsia="仿宋" w:cs="仿宋"/>
          <w:spacing w:val="9"/>
          <w:sz w:val="28"/>
          <w:szCs w:val="28"/>
        </w:rPr>
        <w:t>续，则按合同价*中标费率付款，如工程项目未实施，</w:t>
      </w:r>
      <w:r>
        <w:rPr>
          <w:rFonts w:ascii="仿宋" w:hAnsi="仿宋" w:eastAsia="仿宋" w:cs="仿宋"/>
          <w:spacing w:val="16"/>
          <w:sz w:val="28"/>
          <w:szCs w:val="28"/>
        </w:rPr>
        <w:t>则按</w:t>
      </w:r>
      <w:r>
        <w:rPr>
          <w:rFonts w:hint="eastAsia" w:ascii="仿宋" w:hAnsi="仿宋" w:eastAsia="仿宋" w:cs="仿宋"/>
          <w:spacing w:val="16"/>
          <w:sz w:val="28"/>
          <w:szCs w:val="28"/>
          <w:lang w:val="en-US" w:eastAsia="zh-CN"/>
        </w:rPr>
        <w:t>该工程控制价</w:t>
      </w:r>
      <w:r>
        <w:rPr>
          <w:rFonts w:ascii="仿宋" w:hAnsi="仿宋" w:eastAsia="仿宋" w:cs="仿宋"/>
          <w:spacing w:val="16"/>
          <w:sz w:val="28"/>
          <w:szCs w:val="28"/>
        </w:rPr>
        <w:t>*中标费率*90%付款。该项目款项每</w:t>
      </w:r>
      <w:r>
        <w:rPr>
          <w:rFonts w:ascii="仿宋" w:hAnsi="仿宋" w:eastAsia="仿宋" w:cs="仿宋"/>
          <w:spacing w:val="11"/>
          <w:sz w:val="28"/>
          <w:szCs w:val="28"/>
        </w:rPr>
        <w:t>半年汇总支付一次</w:t>
      </w:r>
    </w:p>
    <w:p>
      <w:pPr>
        <w:spacing w:line="272" w:lineRule="auto"/>
        <w:rPr>
          <w:rFonts w:ascii="Arial"/>
          <w:sz w:val="28"/>
          <w:szCs w:val="28"/>
        </w:rPr>
      </w:pPr>
    </w:p>
    <w:p>
      <w:pPr>
        <w:spacing w:line="272" w:lineRule="auto"/>
        <w:rPr>
          <w:rFonts w:ascii="Arial"/>
          <w:sz w:val="28"/>
          <w:szCs w:val="28"/>
        </w:rPr>
      </w:pPr>
    </w:p>
    <w:p>
      <w:pPr>
        <w:spacing w:before="81" w:line="220" w:lineRule="auto"/>
        <w:rPr>
          <w:rFonts w:ascii="仿宋" w:hAnsi="仿宋" w:eastAsia="仿宋" w:cs="仿宋"/>
          <w:sz w:val="28"/>
          <w:szCs w:val="28"/>
        </w:rPr>
      </w:pPr>
      <w:r>
        <w:rPr>
          <w:rFonts w:ascii="仿宋" w:hAnsi="仿宋" w:eastAsia="仿宋" w:cs="仿宋"/>
          <w:spacing w:val="9"/>
          <w:sz w:val="28"/>
          <w:szCs w:val="28"/>
        </w:rPr>
        <w:t>招标方式：采用竞争性谈判方式招标。</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ind w:firstLine="480" w:firstLineChars="200"/>
        <w:rPr>
          <w:rFonts w:hint="eastAsia" w:ascii="仿宋" w:hAnsi="仿宋" w:eastAsia="仿宋" w:cs="仿宋"/>
          <w:sz w:val="24"/>
          <w:szCs w:val="24"/>
          <w:lang w:val="en-US" w:eastAsia="zh-CN"/>
        </w:rPr>
      </w:pPr>
      <w:bookmarkStart w:id="0" w:name="_GoBack"/>
      <w:r>
        <w:rPr>
          <w:rFonts w:hint="eastAsia" w:ascii="仿宋" w:hAnsi="仿宋" w:eastAsia="仿宋" w:cs="仿宋"/>
          <w:sz w:val="24"/>
          <w:szCs w:val="24"/>
          <w:lang w:val="en-US" w:eastAsia="zh-CN"/>
        </w:rPr>
        <w:t>招标人将对中标人合同履行期限内的工作进行考核（详见“服务企业 履约评价表”），中标人须无条件服从招标人的考核办法，同时招标人有权在合同履行期限内根据自身管理需要对考核办法进行修订。对修订后的考核办法，中标人须无条件接受。</w:t>
      </w:r>
    </w:p>
    <w:p>
      <w:pPr>
        <w:widowControl/>
        <w:spacing w:line="500" w:lineRule="exact"/>
        <w:ind w:firstLine="3842" w:firstLineChars="1600"/>
        <w:jc w:val="both"/>
        <w:rPr>
          <w:rFonts w:hint="eastAsia" w:ascii="宋体" w:hAnsi="宋体"/>
          <w:kern w:val="0"/>
          <w:sz w:val="24"/>
          <w:szCs w:val="28"/>
        </w:rPr>
      </w:pPr>
      <w:r>
        <w:rPr>
          <w:rFonts w:hint="eastAsia" w:ascii="宋体" w:hAnsi="宋体"/>
          <w:b/>
          <w:bCs/>
          <w:sz w:val="24"/>
          <w:szCs w:val="32"/>
        </w:rPr>
        <w:t>服务企业履约评价表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200"/>
        <w:gridCol w:w="2311"/>
        <w:gridCol w:w="2193"/>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582" w:type="dxa"/>
            <w:noWrap w:val="0"/>
            <w:vAlign w:val="center"/>
          </w:tcPr>
          <w:p>
            <w:pPr>
              <w:widowControl/>
              <w:spacing w:line="300" w:lineRule="exact"/>
              <w:jc w:val="center"/>
              <w:rPr>
                <w:rFonts w:hint="eastAsia"/>
                <w:color w:val="000000"/>
                <w:kern w:val="0"/>
                <w:sz w:val="24"/>
                <w:szCs w:val="18"/>
              </w:rPr>
            </w:pPr>
            <w:r>
              <w:rPr>
                <w:rFonts w:hint="eastAsia"/>
                <w:color w:val="000000"/>
                <w:kern w:val="0"/>
                <w:sz w:val="24"/>
                <w:szCs w:val="18"/>
              </w:rPr>
              <w:t>服务单位</w:t>
            </w:r>
          </w:p>
          <w:p>
            <w:pPr>
              <w:widowControl/>
              <w:spacing w:line="300" w:lineRule="exact"/>
              <w:jc w:val="center"/>
              <w:rPr>
                <w:color w:val="000000"/>
                <w:kern w:val="0"/>
                <w:sz w:val="24"/>
                <w:szCs w:val="18"/>
              </w:rPr>
            </w:pPr>
            <w:r>
              <w:rPr>
                <w:rFonts w:hint="eastAsia"/>
                <w:color w:val="000000"/>
                <w:kern w:val="0"/>
                <w:sz w:val="24"/>
                <w:szCs w:val="18"/>
              </w:rPr>
              <w:t>（中标人）</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582" w:type="dxa"/>
            <w:noWrap w:val="0"/>
            <w:vAlign w:val="center"/>
          </w:tcPr>
          <w:p>
            <w:pPr>
              <w:widowControl/>
              <w:spacing w:line="300" w:lineRule="exact"/>
              <w:jc w:val="center"/>
              <w:rPr>
                <w:color w:val="000000"/>
                <w:kern w:val="0"/>
                <w:sz w:val="24"/>
                <w:szCs w:val="18"/>
              </w:rPr>
            </w:pPr>
            <w:r>
              <w:rPr>
                <w:rFonts w:hint="eastAsia"/>
                <w:color w:val="000000"/>
                <w:kern w:val="0"/>
                <w:sz w:val="24"/>
                <w:szCs w:val="18"/>
              </w:rPr>
              <w:t>项目名称</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2" w:type="dxa"/>
            <w:noWrap w:val="0"/>
            <w:vAlign w:val="center"/>
          </w:tcPr>
          <w:p>
            <w:pPr>
              <w:widowControl/>
              <w:spacing w:line="300" w:lineRule="exact"/>
              <w:jc w:val="center"/>
              <w:rPr>
                <w:color w:val="000000"/>
                <w:kern w:val="0"/>
                <w:sz w:val="24"/>
                <w:szCs w:val="18"/>
              </w:rPr>
            </w:pPr>
            <w:r>
              <w:rPr>
                <w:rFonts w:hint="eastAsia"/>
                <w:color w:val="000000"/>
                <w:kern w:val="0"/>
                <w:sz w:val="24"/>
                <w:szCs w:val="18"/>
              </w:rPr>
              <w:t>项目内容</w:t>
            </w:r>
          </w:p>
        </w:tc>
        <w:tc>
          <w:tcPr>
            <w:tcW w:w="8270" w:type="dxa"/>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82" w:type="dxa"/>
            <w:vMerge w:val="restart"/>
            <w:noWrap w:val="0"/>
            <w:vAlign w:val="center"/>
          </w:tcPr>
          <w:p>
            <w:pPr>
              <w:widowControl/>
              <w:spacing w:line="300" w:lineRule="exact"/>
              <w:jc w:val="center"/>
              <w:rPr>
                <w:color w:val="000000"/>
                <w:kern w:val="0"/>
                <w:sz w:val="24"/>
                <w:szCs w:val="18"/>
              </w:rPr>
            </w:pPr>
            <w:r>
              <w:rPr>
                <w:rFonts w:hint="eastAsia"/>
                <w:color w:val="000000"/>
                <w:kern w:val="0"/>
                <w:sz w:val="24"/>
                <w:szCs w:val="18"/>
              </w:rPr>
              <w:t>评价意见</w:t>
            </w:r>
          </w:p>
        </w:tc>
        <w:tc>
          <w:tcPr>
            <w:tcW w:w="1200"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评价内容</w:t>
            </w:r>
          </w:p>
        </w:tc>
        <w:tc>
          <w:tcPr>
            <w:tcW w:w="2311"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评价分档意见</w:t>
            </w:r>
          </w:p>
        </w:tc>
        <w:tc>
          <w:tcPr>
            <w:tcW w:w="2193" w:type="dxa"/>
            <w:noWrap w:val="0"/>
            <w:vAlign w:val="center"/>
          </w:tcPr>
          <w:p>
            <w:pPr>
              <w:widowControl/>
              <w:spacing w:line="300" w:lineRule="exact"/>
              <w:jc w:val="center"/>
              <w:rPr>
                <w:color w:val="000000"/>
                <w:kern w:val="0"/>
                <w:sz w:val="24"/>
                <w:szCs w:val="18"/>
              </w:rPr>
            </w:pPr>
            <w:r>
              <w:rPr>
                <w:rFonts w:hint="eastAsia"/>
                <w:color w:val="000000"/>
                <w:kern w:val="0"/>
                <w:sz w:val="24"/>
                <w:szCs w:val="18"/>
              </w:rPr>
              <w:t>得分</w:t>
            </w:r>
          </w:p>
        </w:tc>
        <w:tc>
          <w:tcPr>
            <w:tcW w:w="2566" w:type="dxa"/>
            <w:noWrap w:val="0"/>
            <w:vAlign w:val="center"/>
          </w:tcPr>
          <w:p>
            <w:pPr>
              <w:widowControl/>
              <w:spacing w:line="300" w:lineRule="exact"/>
              <w:jc w:val="center"/>
              <w:rPr>
                <w:color w:val="000000"/>
                <w:kern w:val="0"/>
                <w:sz w:val="24"/>
                <w:szCs w:val="18"/>
              </w:rPr>
            </w:pPr>
            <w:r>
              <w:rPr>
                <w:rFonts w:hint="eastAsia"/>
                <w:color w:val="000000"/>
                <w:kern w:val="0"/>
                <w:sz w:val="24"/>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人员到位</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时效</w:t>
            </w:r>
            <w:r>
              <w:rPr>
                <w:rFonts w:hint="eastAsia" w:ascii="宋体" w:hAnsi="宋体" w:cs="宋体"/>
                <w:color w:val="000000"/>
                <w:kern w:val="0"/>
                <w:sz w:val="18"/>
                <w:szCs w:val="18"/>
              </w:rPr>
              <w:t>控制</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编制文件</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质量</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配合与服务</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1200" w:type="dxa"/>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整体评价</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2311" w:type="dxa"/>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2193" w:type="dxa"/>
            <w:noWrap w:val="0"/>
            <w:vAlign w:val="center"/>
          </w:tcPr>
          <w:p>
            <w:pPr>
              <w:widowControl/>
              <w:spacing w:line="300" w:lineRule="exact"/>
              <w:jc w:val="left"/>
              <w:rPr>
                <w:color w:val="000000"/>
                <w:kern w:val="0"/>
                <w:sz w:val="18"/>
                <w:szCs w:val="18"/>
              </w:rPr>
            </w:pPr>
            <w:r>
              <w:rPr>
                <w:color w:val="000000"/>
                <w:kern w:val="0"/>
                <w:sz w:val="18"/>
                <w:szCs w:val="18"/>
              </w:rPr>
              <w:t>　</w:t>
            </w:r>
          </w:p>
        </w:tc>
        <w:tc>
          <w:tcPr>
            <w:tcW w:w="2566" w:type="dxa"/>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582" w:type="dxa"/>
            <w:vMerge w:val="continue"/>
            <w:noWrap w:val="0"/>
            <w:vAlign w:val="center"/>
          </w:tcPr>
          <w:p>
            <w:pPr>
              <w:widowControl/>
              <w:spacing w:line="300" w:lineRule="exact"/>
              <w:jc w:val="left"/>
              <w:rPr>
                <w:rFonts w:ascii="宋体" w:hAnsi="宋体" w:cs="宋体"/>
                <w:color w:val="000000"/>
                <w:kern w:val="0"/>
                <w:sz w:val="18"/>
                <w:szCs w:val="18"/>
              </w:rPr>
            </w:pPr>
          </w:p>
        </w:tc>
        <w:tc>
          <w:tcPr>
            <w:tcW w:w="3511" w:type="dxa"/>
            <w:gridSpan w:val="2"/>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22"/>
                <w:szCs w:val="18"/>
              </w:rPr>
              <w:t>评价总得分</w:t>
            </w:r>
          </w:p>
        </w:tc>
        <w:tc>
          <w:tcPr>
            <w:tcW w:w="4759" w:type="dxa"/>
            <w:gridSpan w:val="2"/>
            <w:noWrap w:val="0"/>
            <w:vAlign w:val="center"/>
          </w:tcPr>
          <w:p>
            <w:pPr>
              <w:widowControl/>
              <w:spacing w:line="300" w:lineRule="exact"/>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9852" w:type="dxa"/>
            <w:gridSpan w:val="5"/>
            <w:noWrap w:val="0"/>
            <w:vAlign w:val="center"/>
          </w:tcPr>
          <w:p>
            <w:pPr>
              <w:widowControl/>
              <w:spacing w:line="300" w:lineRule="exact"/>
              <w:jc w:val="left"/>
              <w:rPr>
                <w:color w:val="000000"/>
                <w:kern w:val="0"/>
                <w:sz w:val="18"/>
                <w:szCs w:val="18"/>
              </w:rPr>
            </w:pPr>
            <w:r>
              <w:rPr>
                <w:color w:val="000000"/>
                <w:kern w:val="0"/>
                <w:sz w:val="24"/>
                <w:szCs w:val="18"/>
              </w:rPr>
              <w:t>评分人（签字）：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9852" w:type="dxa"/>
            <w:gridSpan w:val="5"/>
            <w:noWrap w:val="0"/>
            <w:vAlign w:val="center"/>
          </w:tcPr>
          <w:p>
            <w:pPr>
              <w:pStyle w:val="2"/>
              <w:spacing w:line="300" w:lineRule="exact"/>
              <w:rPr>
                <w:rFonts w:hint="eastAsia" w:ascii="宋体" w:hAnsi="宋体"/>
                <w:b/>
                <w:sz w:val="21"/>
                <w:szCs w:val="21"/>
                <w:lang w:val="en-US" w:eastAsia="zh-CN"/>
              </w:rPr>
            </w:pPr>
            <w:r>
              <w:rPr>
                <w:rFonts w:hint="eastAsia" w:ascii="宋体" w:hAnsi="宋体"/>
                <w:b/>
                <w:sz w:val="21"/>
                <w:szCs w:val="21"/>
                <w:lang w:val="en-US" w:eastAsia="zh-CN"/>
              </w:rPr>
              <w:t>备注：中标人实行业绩评价机制。招标人每半年对中标人评价一次。</w:t>
            </w:r>
          </w:p>
          <w:p>
            <w:pPr>
              <w:autoSpaceDE w:val="0"/>
              <w:autoSpaceDN w:val="0"/>
              <w:spacing w:line="300" w:lineRule="exact"/>
              <w:jc w:val="left"/>
              <w:rPr>
                <w:rFonts w:hint="eastAsia" w:ascii="宋体" w:hAnsi="宋体"/>
                <w:b/>
                <w:szCs w:val="21"/>
              </w:rPr>
            </w:pPr>
            <w:r>
              <w:rPr>
                <w:rFonts w:hint="eastAsia" w:ascii="宋体" w:hAnsi="宋体"/>
                <w:b/>
                <w:szCs w:val="21"/>
              </w:rPr>
              <w:t>说明：</w:t>
            </w:r>
          </w:p>
          <w:p>
            <w:pPr>
              <w:autoSpaceDE w:val="0"/>
              <w:autoSpaceDN w:val="0"/>
              <w:spacing w:line="300" w:lineRule="exact"/>
              <w:jc w:val="left"/>
              <w:rPr>
                <w:rFonts w:hint="eastAsia" w:ascii="宋体" w:hAnsi="宋体"/>
                <w:b/>
                <w:szCs w:val="21"/>
              </w:rPr>
            </w:pPr>
            <w:r>
              <w:rPr>
                <w:rFonts w:hint="eastAsia" w:ascii="宋体" w:hAnsi="宋体"/>
                <w:b/>
                <w:szCs w:val="21"/>
              </w:rPr>
              <w:t>（1）中标人评价总分在90分（含）-100分（含）的，视为合格。</w:t>
            </w:r>
          </w:p>
          <w:p>
            <w:pPr>
              <w:autoSpaceDE w:val="0"/>
              <w:autoSpaceDN w:val="0"/>
              <w:spacing w:line="300" w:lineRule="exact"/>
              <w:jc w:val="left"/>
              <w:rPr>
                <w:rFonts w:hint="eastAsia" w:ascii="宋体" w:hAnsi="宋体"/>
                <w:b/>
                <w:szCs w:val="21"/>
              </w:rPr>
            </w:pPr>
            <w:r>
              <w:rPr>
                <w:rFonts w:hint="eastAsia" w:ascii="宋体" w:hAnsi="宋体"/>
                <w:b/>
                <w:szCs w:val="21"/>
              </w:rPr>
              <w:t>（2）中标人评价总分在80分（含）-90分（不含）的，扣减</w:t>
            </w:r>
            <w:r>
              <w:rPr>
                <w:rFonts w:hint="eastAsia" w:ascii="宋体" w:hAnsi="宋体"/>
                <w:b/>
                <w:szCs w:val="21"/>
                <w:lang w:val="en-US" w:eastAsia="zh-CN"/>
              </w:rPr>
              <w:t>本考核期内10%服务费</w:t>
            </w:r>
            <w:r>
              <w:rPr>
                <w:rFonts w:hint="eastAsia" w:ascii="宋体" w:hAnsi="宋体"/>
                <w:b/>
                <w:szCs w:val="21"/>
              </w:rPr>
              <w:t>，暂停其提供服务时间3个月。</w:t>
            </w:r>
          </w:p>
          <w:p>
            <w:pPr>
              <w:autoSpaceDE w:val="0"/>
              <w:autoSpaceDN w:val="0"/>
              <w:spacing w:line="300" w:lineRule="exact"/>
              <w:jc w:val="left"/>
              <w:rPr>
                <w:rFonts w:hint="eastAsia" w:ascii="宋体" w:hAnsi="宋体"/>
                <w:b/>
                <w:szCs w:val="21"/>
              </w:rPr>
            </w:pPr>
            <w:r>
              <w:rPr>
                <w:rFonts w:hint="eastAsia" w:ascii="宋体" w:hAnsi="宋体"/>
                <w:b/>
                <w:szCs w:val="21"/>
              </w:rPr>
              <w:t>（3）中标人评价总分在80分（不含）以下的：</w:t>
            </w:r>
            <w:r>
              <w:rPr>
                <w:rFonts w:hint="eastAsia" w:ascii="宋体" w:hAnsi="宋体"/>
                <w:b/>
                <w:szCs w:val="21"/>
                <w:lang w:val="en-US" w:eastAsia="zh-CN"/>
              </w:rPr>
              <w:t>一次扣除本考核期内20%，服务期内累计两次则</w:t>
            </w:r>
            <w:r>
              <w:rPr>
                <w:rFonts w:hint="eastAsia" w:ascii="宋体" w:hAnsi="宋体"/>
                <w:b/>
                <w:szCs w:val="21"/>
              </w:rPr>
              <w:t>取消其服务资格并解除合同，且两年内不得承接</w:t>
            </w:r>
            <w:r>
              <w:rPr>
                <w:rFonts w:hint="eastAsia" w:ascii="宋体" w:hAnsi="宋体"/>
                <w:b/>
                <w:szCs w:val="21"/>
                <w:lang w:val="en-US" w:eastAsia="zh-CN"/>
              </w:rPr>
              <w:t>马鞍山市人民医院</w:t>
            </w:r>
            <w:r>
              <w:rPr>
                <w:rFonts w:hint="eastAsia" w:ascii="宋体" w:hAnsi="宋体"/>
                <w:b/>
                <w:szCs w:val="21"/>
              </w:rPr>
              <w:t>的工程</w:t>
            </w:r>
            <w:r>
              <w:rPr>
                <w:rFonts w:hint="eastAsia" w:ascii="宋体" w:hAnsi="宋体"/>
                <w:b/>
                <w:szCs w:val="21"/>
                <w:lang w:eastAsia="zh-CN"/>
              </w:rPr>
              <w:t>零星工程</w:t>
            </w:r>
            <w:r>
              <w:rPr>
                <w:rFonts w:hint="eastAsia" w:ascii="宋体" w:hAnsi="宋体"/>
                <w:b/>
                <w:szCs w:val="21"/>
              </w:rPr>
              <w:t>服务业务。</w:t>
            </w:r>
          </w:p>
          <w:p>
            <w:pPr>
              <w:autoSpaceDE w:val="0"/>
              <w:autoSpaceDN w:val="0"/>
              <w:spacing w:line="300" w:lineRule="exact"/>
              <w:jc w:val="left"/>
              <w:rPr>
                <w:kern w:val="0"/>
                <w:sz w:val="20"/>
                <w:szCs w:val="20"/>
              </w:rPr>
            </w:pPr>
            <w:r>
              <w:rPr>
                <w:rFonts w:hint="eastAsia" w:ascii="宋体" w:hAnsi="宋体"/>
                <w:b/>
                <w:szCs w:val="21"/>
              </w:rPr>
              <w:t>（4）上述内容若与合同约定不一致，则招标人有权选择中标人较重的违约责任执行。</w:t>
            </w:r>
          </w:p>
        </w:tc>
      </w:tr>
    </w:tbl>
    <w:p>
      <w:pPr>
        <w:pStyle w:val="2"/>
        <w:rPr>
          <w:rFonts w:hint="eastAsia"/>
          <w:lang w:val="en-US" w:eastAsia="zh-CN"/>
        </w:rPr>
      </w:pPr>
    </w:p>
    <w:bookmarkEnd w:id="0"/>
    <w:p>
      <w:pPr>
        <w:spacing w:line="272" w:lineRule="auto"/>
        <w:rPr>
          <w:rFonts w:ascii="Arial"/>
          <w:sz w:val="21"/>
        </w:rPr>
      </w:pPr>
    </w:p>
    <w:sectPr>
      <w:headerReference r:id="rId5" w:type="default"/>
      <w:pgSz w:w="11906" w:h="16838"/>
      <w:pgMar w:top="1" w:right="785" w:bottom="0" w:left="9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WI2M2YxMGQxMzVlOThmOTgwNGI1MGVlNWFiOGUzODcifQ=="/>
  </w:docVars>
  <w:rsids>
    <w:rsidRoot w:val="00000000"/>
    <w:rsid w:val="05C62903"/>
    <w:rsid w:val="28950957"/>
    <w:rsid w:val="40D078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kern w:val="0"/>
      <w:sz w:val="20"/>
      <w:szCs w:val="20"/>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815</Words>
  <Characters>860</Characters>
  <TotalTime>5</TotalTime>
  <ScaleCrop>false</ScaleCrop>
  <LinksUpToDate>false</LinksUpToDate>
  <CharactersWithSpaces>875</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2023-05-16T08:22:00Z</dcterms:created>
  <dc:creator>Kingsoft-PDF</dc:creator>
  <cp:lastModifiedBy>高杨</cp:lastModifiedBy>
  <cp:lastPrinted>2023-05-24T12:14:00Z</cp:lastPrinted>
  <dcterms:modified xsi:type="dcterms:W3CDTF">2023-05-25T07:58:24Z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2023-05-16T08:22:29Z</vt:filetime>
  </property>
  <property fmtid="{D5CDD505-2E9C-101B-9397-08002B2CF9AE}" pid="4" name="UsrData">
    <vt:lpwstr>6462ccc30d38b7001575f7f9</vt:lpwstr>
  </property>
  <property fmtid="{D5CDD505-2E9C-101B-9397-08002B2CF9AE}" pid="5" name="KSOProductBuildVer">
    <vt:lpwstr>2052-11.1.0.14309</vt:lpwstr>
  </property>
  <property fmtid="{D5CDD505-2E9C-101B-9397-08002B2CF9AE}" pid="6" name="ICV">
    <vt:lpwstr>C0253D9901E24241B1BB448494C4238D_13</vt:lpwstr>
  </property>
</Properties>
</file>