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numPr>
          <w:ilvl w:val="0"/>
          <w:numId w:val="0"/>
        </w:numPr>
        <w:rPr>
          <w:rFonts w:hint="eastAsia" w:ascii="宋体" w:hAnsi="宋体" w:eastAsia="宋体" w:cs="Times New Roman"/>
          <w:kern w:val="2"/>
          <w:sz w:val="21"/>
          <w:szCs w:val="22"/>
          <w:lang w:val="en-US" w:eastAsia="zh-CN" w:bidi="ar-SA"/>
        </w:rPr>
      </w:pPr>
    </w:p>
    <w:p>
      <w:pPr>
        <w:pStyle w:val="6"/>
        <w:numPr>
          <w:ilvl w:val="0"/>
          <w:numId w:val="0"/>
        </w:numPr>
        <w:jc w:val="center"/>
        <w:rPr>
          <w:rFonts w:hint="eastAsia" w:ascii="宋体" w:hAnsi="宋体" w:eastAsia="宋体" w:cs="Times New Roman"/>
          <w:b/>
          <w:bCs/>
          <w:kern w:val="2"/>
          <w:sz w:val="36"/>
          <w:szCs w:val="40"/>
          <w:lang w:val="en-US" w:eastAsia="zh-CN" w:bidi="ar-SA"/>
        </w:rPr>
      </w:pPr>
      <w:r>
        <w:rPr>
          <w:rFonts w:hint="eastAsia" w:ascii="宋体" w:hAnsi="宋体" w:eastAsia="宋体" w:cs="Times New Roman"/>
          <w:b/>
          <w:bCs/>
          <w:kern w:val="2"/>
          <w:sz w:val="28"/>
          <w:szCs w:val="32"/>
          <w:lang w:val="en-US" w:eastAsia="zh-CN" w:bidi="ar-SA"/>
        </w:rPr>
        <w:t>网络安全加固服务</w:t>
      </w:r>
      <w:r>
        <w:rPr>
          <w:rFonts w:hint="eastAsia" w:ascii="宋体" w:hAnsi="宋体" w:cs="Times New Roman"/>
          <w:b/>
          <w:bCs/>
          <w:kern w:val="2"/>
          <w:sz w:val="28"/>
          <w:szCs w:val="32"/>
          <w:lang w:val="en-US" w:eastAsia="zh-CN" w:bidi="ar-SA"/>
        </w:rPr>
        <w:t>项目</w:t>
      </w:r>
      <w:r>
        <w:rPr>
          <w:rFonts w:hint="eastAsia" w:ascii="宋体" w:hAnsi="宋体" w:eastAsia="宋体" w:cs="Times New Roman"/>
          <w:b/>
          <w:bCs/>
          <w:kern w:val="2"/>
          <w:sz w:val="28"/>
          <w:szCs w:val="32"/>
          <w:lang w:val="en-US" w:eastAsia="zh-CN" w:bidi="ar-SA"/>
        </w:rPr>
        <w:t>采购需求</w:t>
      </w:r>
    </w:p>
    <w:p>
      <w:pPr>
        <w:keepNext w:val="0"/>
        <w:keepLines w:val="0"/>
        <w:widowControl/>
        <w:suppressLineNumbers w:val="0"/>
        <w:ind w:firstLine="420" w:firstLineChars="200"/>
        <w:jc w:val="left"/>
        <w:rPr>
          <w:rFonts w:hint="default" w:ascii="宋体" w:hAnsi="宋体" w:eastAsia="宋体" w:cs="Times New Roman"/>
          <w:b/>
          <w:bCs/>
          <w:kern w:val="2"/>
          <w:sz w:val="21"/>
          <w:szCs w:val="22"/>
          <w:highlight w:val="yellow"/>
          <w:lang w:val="en-US" w:eastAsia="zh-CN" w:bidi="ar-SA"/>
        </w:rPr>
      </w:pPr>
      <w:r>
        <w:rPr>
          <w:rFonts w:hint="eastAsia" w:ascii="宋体" w:hAnsi="宋体" w:eastAsia="宋体" w:cs="Times New Roman"/>
          <w:kern w:val="2"/>
          <w:sz w:val="21"/>
          <w:szCs w:val="22"/>
          <w:lang w:val="en-US" w:eastAsia="zh-CN" w:bidi="ar-SA"/>
        </w:rPr>
        <w:t>网络安全加固服务项目，预算119万元/年，合同3年，采用“1+1+1”模式，每年一签。</w:t>
      </w:r>
      <w:r>
        <w:rPr>
          <w:rFonts w:hint="eastAsia" w:ascii="宋体" w:hAnsi="宋体" w:cs="Times New Roman"/>
          <w:b/>
          <w:bCs/>
          <w:kern w:val="2"/>
          <w:sz w:val="21"/>
          <w:szCs w:val="22"/>
          <w:highlight w:val="yellow"/>
          <w:lang w:val="en-US" w:eastAsia="zh-CN" w:bidi="ar-SA"/>
        </w:rPr>
        <w:t>本项目为租赁服务方式，征集方案所涉及设备可以在现有设备上维保升级，也可以提供功能性能相当产品纳入整体解决方案。</w:t>
      </w:r>
    </w:p>
    <w:p>
      <w:pPr>
        <w:rPr>
          <w:rFonts w:hint="eastAsia"/>
          <w:highlight w:val="none"/>
          <w:lang w:val="en-US" w:eastAsia="zh-CN"/>
        </w:rPr>
      </w:pPr>
      <w:bookmarkStart w:id="4" w:name="_GoBack"/>
      <w:bookmarkEnd w:id="4"/>
    </w:p>
    <w:p>
      <w:pPr>
        <w:pStyle w:val="7"/>
        <w:jc w:val="center"/>
        <w:rPr>
          <w:rFonts w:hint="default" w:ascii="宋体" w:hAnsi="宋体" w:eastAsia="宋体" w:cs="Times New Roman"/>
          <w:kern w:val="2"/>
          <w:sz w:val="21"/>
          <w:szCs w:val="22"/>
          <w:highlight w:val="none"/>
          <w:lang w:val="en-US" w:eastAsia="zh-CN" w:bidi="ar-SA"/>
        </w:rPr>
      </w:pPr>
      <w:r>
        <w:rPr>
          <w:rFonts w:hint="eastAsia" w:ascii="宋体" w:hAnsi="宋体" w:eastAsia="宋体" w:cs="Times New Roman"/>
          <w:kern w:val="2"/>
          <w:sz w:val="21"/>
          <w:szCs w:val="22"/>
          <w:highlight w:val="none"/>
          <w:lang w:val="en-US" w:eastAsia="zh-CN" w:bidi="ar-SA"/>
        </w:rPr>
        <w:t>网络安全加固服务</w:t>
      </w:r>
      <w:r>
        <w:rPr>
          <w:rFonts w:hint="eastAsia" w:ascii="宋体" w:hAnsi="宋体" w:cs="Times New Roman"/>
          <w:kern w:val="2"/>
          <w:sz w:val="21"/>
          <w:szCs w:val="22"/>
          <w:highlight w:val="none"/>
          <w:lang w:val="en-US" w:eastAsia="zh-CN" w:bidi="ar-SA"/>
        </w:rPr>
        <w:t>项目预算明细表</w:t>
      </w:r>
    </w:p>
    <w:tbl>
      <w:tblPr>
        <w:tblStyle w:val="8"/>
        <w:tblW w:w="492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96"/>
        <w:gridCol w:w="520"/>
        <w:gridCol w:w="830"/>
        <w:gridCol w:w="930"/>
        <w:gridCol w:w="9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设备名称</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数量</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计量单位</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单价(万元)</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总价(万元)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 w:hRule="atLeast"/>
        </w:trPr>
        <w:tc>
          <w:tcPr>
            <w:tcW w:w="309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val="0"/>
                <w:bCs w:val="0"/>
                <w:i w:val="0"/>
                <w:iCs w:val="0"/>
                <w:color w:val="000000"/>
                <w:kern w:val="0"/>
                <w:sz w:val="21"/>
                <w:szCs w:val="21"/>
                <w:u w:val="none"/>
                <w:lang w:val="en-US" w:eastAsia="zh-CN" w:bidi="ar"/>
              </w:rPr>
              <w:t>（一）安全设备基础维保服务（1年期）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4"/>
                <w:szCs w:val="24"/>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1、内网服务器区防火墙（Q2007516822）：</w:t>
            </w:r>
            <w:r>
              <w:rPr>
                <w:rStyle w:val="10"/>
                <w:lang w:val="en-US" w:eastAsia="zh-CN" w:bidi="ar"/>
              </w:rPr>
              <w:t>NG-81010</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1、内网服务器区防火墙（Q2007515089）：</w:t>
            </w:r>
            <w:r>
              <w:rPr>
                <w:rStyle w:val="10"/>
                <w:lang w:val="en-US" w:eastAsia="zh-CN" w:bidi="ar"/>
              </w:rPr>
              <w:t>NG-81010</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2、数据库审计（Q2007516821）：</w:t>
            </w:r>
            <w:r>
              <w:rPr>
                <w:rStyle w:val="10"/>
                <w:lang w:val="en-US" w:eastAsia="zh-CN" w:bidi="ar"/>
              </w:rPr>
              <w:t xml:space="preserve">TA-53329-DB  </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3、WAF（Q2006467727）：</w:t>
            </w:r>
            <w:r>
              <w:rPr>
                <w:rStyle w:val="10"/>
                <w:lang w:val="en-US" w:eastAsia="zh-CN" w:bidi="ar"/>
              </w:rPr>
              <w:t>TWF-A3106</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4、堡垒机（Q2007499291）：</w:t>
            </w:r>
            <w:r>
              <w:rPr>
                <w:rStyle w:val="10"/>
                <w:lang w:val="en-US" w:eastAsia="zh-CN" w:bidi="ar"/>
              </w:rPr>
              <w:t>NSAG-41208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5、日志审计（Q2007499287）：</w:t>
            </w:r>
            <w:r>
              <w:rPr>
                <w:rStyle w:val="10"/>
                <w:lang w:val="en-US" w:eastAsia="zh-CN" w:bidi="ar"/>
              </w:rPr>
              <w:t>TA-L-HSE-200</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6、态势感知（Q2007499288）：</w:t>
            </w:r>
            <w:r>
              <w:rPr>
                <w:rStyle w:val="10"/>
                <w:lang w:val="en-US" w:eastAsia="zh-CN" w:bidi="ar"/>
              </w:rPr>
              <w:t>TopSA-80221-H</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r>
              <w:rPr>
                <w:rStyle w:val="11"/>
                <w:lang w:val="en-US" w:eastAsia="zh-CN" w:bidi="ar"/>
              </w:rPr>
              <w:t>外网防火墙（Q1911278443）：NU-51228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8、内网防火墙1（Q1812046171）：</w:t>
            </w:r>
            <w:r>
              <w:rPr>
                <w:rStyle w:val="10"/>
                <w:lang w:val="en-US" w:eastAsia="zh-CN" w:bidi="ar"/>
              </w:rPr>
              <w:t>NG-51428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9、内网防火墙2（Q1911278444）：</w:t>
            </w:r>
            <w:r>
              <w:rPr>
                <w:rStyle w:val="10"/>
                <w:lang w:val="en-US" w:eastAsia="zh-CN" w:bidi="ar"/>
              </w:rPr>
              <w:t>NU-51228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10、网闸（Q1911278454）：</w:t>
            </w:r>
            <w:r>
              <w:rPr>
                <w:rStyle w:val="10"/>
                <w:lang w:val="en-US" w:eastAsia="zh-CN" w:bidi="ar"/>
              </w:rPr>
              <w:t>TR-71288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11、外网入侵检测（Q1811766120）：</w:t>
            </w:r>
            <w:r>
              <w:rPr>
                <w:rStyle w:val="10"/>
                <w:lang w:val="en-US" w:eastAsia="zh-CN" w:bidi="ar"/>
              </w:rPr>
              <w:t>TS-A2106</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12、网络审计（Q1907085134）：</w:t>
            </w:r>
            <w:r>
              <w:rPr>
                <w:rStyle w:val="10"/>
                <w:lang w:val="en-US" w:eastAsia="zh-CN" w:bidi="ar"/>
              </w:rPr>
              <w:t>TAN-A3106</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13、网络审计（Q1907085139）：</w:t>
            </w:r>
            <w:r>
              <w:rPr>
                <w:rStyle w:val="10"/>
                <w:lang w:val="en-US" w:eastAsia="zh-CN" w:bidi="ar"/>
              </w:rPr>
              <w:t>TAN-A3106</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14、外网上网行为管理（Q2007499289）：</w:t>
            </w:r>
            <w:r>
              <w:rPr>
                <w:rStyle w:val="10"/>
                <w:lang w:val="en-US" w:eastAsia="zh-CN" w:bidi="ar"/>
              </w:rPr>
              <w:t>ACM-52328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15、内网服务器区IPS（Q2007499290）：</w:t>
            </w:r>
            <w:r>
              <w:rPr>
                <w:rStyle w:val="10"/>
                <w:lang w:val="en-US" w:eastAsia="zh-CN" w:bidi="ar"/>
              </w:rPr>
              <w:t>TI-53228</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val="0"/>
                <w:bCs w:val="0"/>
                <w:i w:val="0"/>
                <w:iCs w:val="0"/>
                <w:color w:val="000000"/>
                <w:kern w:val="0"/>
                <w:sz w:val="21"/>
                <w:szCs w:val="21"/>
                <w:u w:val="none"/>
                <w:lang w:val="en-US" w:eastAsia="zh-CN" w:bidi="ar"/>
              </w:rPr>
              <w:t>（二）安全设备软件升级服务（1年期）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WAF TWF-A3106(Q2006467727),一年特征库升级许可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外网防火墙 NU-51228（Q1911278443）一年防病毒特征库升级许可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外网入侵检测 TS-A2106（Q1811766120）</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网络审计 TAN-A3106（Q1907085134）网站知识库、攻击&amp;应用识别知识库1年升级服务许可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网络审计 TAN-A3106（Q1907085139）网站知识库、攻击&amp;应用识别知识库1年升级服务许可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外网上网行为管理 ACM-52328（Q2007499289）一年的系统版本、URL库及应用特征库升级许可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内网服务器区IPS TI-53228（Q2007499290），IDP攻击规则库1年升级许可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杀毒软件升级150台WINDOWS服务器端 1年升级许可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杀毒软件升级1150台WINDOWS终端 1年升级许可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val="0"/>
                <w:bCs w:val="0"/>
                <w:i w:val="0"/>
                <w:iCs w:val="0"/>
                <w:color w:val="000000"/>
                <w:kern w:val="0"/>
                <w:sz w:val="21"/>
                <w:szCs w:val="21"/>
                <w:u w:val="none"/>
                <w:lang w:val="en-US" w:eastAsia="zh-CN" w:bidi="ar"/>
              </w:rPr>
              <w:t>（三）新增安全设备租赁（1年期）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杀毒软件新增100个WINDOWS服务器1年升级许可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杀毒软件新增200个PC客户端1年升级许可</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内网服务器区防火墙</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2</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IPS</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cs="宋体"/>
                <w:b w:val="0"/>
                <w:bCs w:val="0"/>
                <w:i w:val="0"/>
                <w:iCs w:val="0"/>
                <w:color w:val="auto"/>
                <w:kern w:val="0"/>
                <w:sz w:val="21"/>
                <w:szCs w:val="21"/>
                <w:highlight w:val="none"/>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highlight w:val="none"/>
                <w:u w:val="none"/>
              </w:rPr>
            </w:pPr>
            <w:r>
              <w:rPr>
                <w:rFonts w:hint="eastAsia" w:ascii="宋体" w:hAnsi="宋体" w:eastAsia="宋体" w:cs="宋体"/>
                <w:b w:val="0"/>
                <w:bCs w:val="0"/>
                <w:i w:val="0"/>
                <w:iCs w:val="0"/>
                <w:color w:val="auto"/>
                <w:kern w:val="0"/>
                <w:sz w:val="21"/>
                <w:szCs w:val="21"/>
                <w:highlight w:val="none"/>
                <w:u w:val="none"/>
                <w:lang w:val="en-US" w:eastAsia="zh-CN" w:bidi="ar"/>
              </w:rPr>
              <w:t>台</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highlight w:val="none"/>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val="0"/>
                <w:bCs w:val="0"/>
                <w:i w:val="0"/>
                <w:iCs w:val="0"/>
                <w:color w:val="auto"/>
                <w:kern w:val="0"/>
                <w:sz w:val="21"/>
                <w:szCs w:val="21"/>
                <w:u w:val="none"/>
                <w:lang w:val="en-US" w:eastAsia="zh-CN" w:bidi="ar"/>
              </w:rPr>
              <w:t>（四）其他安全设备租赁（1年期）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21"/>
                <w:szCs w:val="21"/>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服务器虚拟化性能监控平台</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服务器虚拟化微隔离平台（40颗CPU授权）</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SDN</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防统方系统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网络流量回溯分析系统</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DSG灾备增加点位</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r>
              <w:rPr>
                <w:rFonts w:hint="eastAsia" w:ascii="宋体" w:hAnsi="宋体" w:eastAsia="宋体" w:cs="宋体"/>
                <w:b w:val="0"/>
                <w:bCs w:val="0"/>
                <w:i w:val="0"/>
                <w:iCs w:val="0"/>
                <w:color w:val="auto"/>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VMware虚拟化</w:t>
            </w:r>
            <w:r>
              <w:rPr>
                <w:rFonts w:hint="eastAsia" w:ascii="宋体" w:hAnsi="宋体" w:cs="宋体"/>
                <w:i w:val="0"/>
                <w:iCs w:val="0"/>
                <w:color w:val="000000"/>
                <w:kern w:val="0"/>
                <w:sz w:val="20"/>
                <w:szCs w:val="20"/>
                <w:u w:val="none"/>
                <w:lang w:val="en-US" w:eastAsia="zh-CN" w:bidi="ar"/>
              </w:rPr>
              <w:t>集群</w:t>
            </w:r>
            <w:r>
              <w:rPr>
                <w:rFonts w:hint="eastAsia" w:ascii="宋体" w:hAnsi="宋体" w:eastAsia="宋体" w:cs="宋体"/>
                <w:i w:val="0"/>
                <w:iCs w:val="0"/>
                <w:color w:val="000000"/>
                <w:kern w:val="0"/>
                <w:sz w:val="20"/>
                <w:szCs w:val="20"/>
                <w:u w:val="none"/>
                <w:lang w:val="en-US" w:eastAsia="zh-CN" w:bidi="ar"/>
              </w:rPr>
              <w:t>运维服务</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 w:hRule="atLeast"/>
        </w:trPr>
        <w:tc>
          <w:tcPr>
            <w:tcW w:w="30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医院信息化安全加固服务</w:t>
            </w: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1</w:t>
            </w: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1"/>
                <w:szCs w:val="21"/>
                <w:u w:val="none"/>
                <w:lang w:val="en-US" w:eastAsia="zh-CN" w:bidi="ar"/>
              </w:rPr>
              <w:t>项</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094" w:type="pct"/>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4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1"/>
                <w:szCs w:val="21"/>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FF0000"/>
                <w:sz w:val="21"/>
                <w:szCs w:val="21"/>
                <w:u w:val="none"/>
              </w:rPr>
            </w:pPr>
          </w:p>
        </w:tc>
      </w:tr>
    </w:tbl>
    <w:p>
      <w:pPr>
        <w:spacing w:line="360" w:lineRule="auto"/>
        <w:ind w:firstLine="420"/>
        <w:rPr>
          <w:rFonts w:ascii="宋体" w:hAnsi="宋体" w:cs="微软雅黑"/>
          <w:sz w:val="21"/>
          <w:szCs w:val="21"/>
        </w:rPr>
      </w:pPr>
      <w:r>
        <w:rPr>
          <w:rFonts w:hint="eastAsia" w:ascii="宋体" w:hAnsi="宋体" w:cs="微软雅黑"/>
          <w:sz w:val="21"/>
          <w:szCs w:val="21"/>
        </w:rPr>
        <w:t>医院网络安全现状拓扑如下所示：</w:t>
      </w:r>
    </w:p>
    <w:p>
      <w:pPr>
        <w:pStyle w:val="6"/>
        <w:rPr>
          <w:rFonts w:ascii="微软雅黑" w:hAnsi="微软雅黑" w:eastAsia="微软雅黑" w:cs="微软雅黑"/>
        </w:rPr>
      </w:pPr>
      <w:r>
        <w:drawing>
          <wp:inline distT="0" distB="0" distL="114300" distR="114300">
            <wp:extent cx="5278120" cy="3184525"/>
            <wp:effectExtent l="0" t="0" r="17780" b="158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278120" cy="3184525"/>
                    </a:xfrm>
                    <a:prstGeom prst="rect">
                      <a:avLst/>
                    </a:prstGeom>
                    <a:noFill/>
                    <a:ln>
                      <a:noFill/>
                    </a:ln>
                  </pic:spPr>
                </pic:pic>
              </a:graphicData>
            </a:graphic>
          </wp:inline>
        </w:drawing>
      </w:r>
    </w:p>
    <w:p>
      <w:pPr>
        <w:pStyle w:val="6"/>
        <w:jc w:val="center"/>
        <w:rPr>
          <w:rFonts w:ascii="宋体" w:hAnsi="宋体" w:cs="微软雅黑"/>
        </w:rPr>
      </w:pPr>
      <w:r>
        <w:rPr>
          <w:rFonts w:hint="eastAsia" w:ascii="宋体" w:hAnsi="宋体" w:cs="微软雅黑"/>
        </w:rPr>
        <w:t>图1：医院网络安全现状图</w:t>
      </w:r>
    </w:p>
    <w:p>
      <w:pPr>
        <w:pStyle w:val="6"/>
        <w:spacing w:line="240" w:lineRule="auto"/>
        <w:ind w:firstLine="480"/>
        <w:rPr>
          <w:rFonts w:hint="eastAsia" w:ascii="宋体" w:hAnsi="宋体" w:eastAsia="宋体" w:cs="宋体"/>
          <w:b w:val="0"/>
          <w:bCs w:val="0"/>
          <w:sz w:val="21"/>
          <w:szCs w:val="21"/>
        </w:rPr>
      </w:pPr>
      <w:r>
        <w:rPr>
          <w:rFonts w:hint="eastAsia" w:ascii="宋体" w:hAnsi="宋体" w:eastAsia="宋体" w:cs="宋体"/>
          <w:b w:val="0"/>
          <w:bCs w:val="0"/>
          <w:sz w:val="21"/>
          <w:szCs w:val="21"/>
        </w:rPr>
        <w:t>已部署较为完善的网络安全技术措施，从通信网络安全、区域边界安全、安全审计、安全管理等多个层面进行了综合防护，安全防护情况如下</w:t>
      </w:r>
    </w:p>
    <w:p>
      <w:pPr>
        <w:pStyle w:val="6"/>
        <w:numPr>
          <w:ilvl w:val="0"/>
          <w:numId w:val="1"/>
        </w:numPr>
        <w:spacing w:line="240" w:lineRule="auto"/>
        <w:ind w:firstLine="369" w:firstLineChars="176"/>
        <w:rPr>
          <w:rFonts w:hint="eastAsia" w:ascii="宋体" w:hAnsi="宋体" w:eastAsia="宋体" w:cs="宋体"/>
          <w:b w:val="0"/>
          <w:bCs w:val="0"/>
          <w:sz w:val="21"/>
          <w:szCs w:val="21"/>
        </w:rPr>
      </w:pPr>
      <w:r>
        <w:rPr>
          <w:rFonts w:hint="eastAsia" w:ascii="宋体" w:hAnsi="宋体" w:eastAsia="宋体" w:cs="宋体"/>
          <w:b w:val="0"/>
          <w:bCs w:val="0"/>
          <w:sz w:val="21"/>
          <w:szCs w:val="21"/>
        </w:rPr>
        <w:t>通信网络安全类产品：综合部署VPN网关设备，实现了远程办公、运维接入安全；</w:t>
      </w:r>
    </w:p>
    <w:p>
      <w:pPr>
        <w:pStyle w:val="6"/>
        <w:numPr>
          <w:ilvl w:val="0"/>
          <w:numId w:val="1"/>
        </w:numPr>
        <w:spacing w:line="240" w:lineRule="auto"/>
        <w:ind w:firstLine="369" w:firstLineChars="176"/>
        <w:rPr>
          <w:rFonts w:hint="eastAsia" w:ascii="宋体" w:hAnsi="宋体" w:eastAsia="宋体" w:cs="宋体"/>
          <w:b w:val="0"/>
          <w:bCs w:val="0"/>
          <w:sz w:val="21"/>
          <w:szCs w:val="21"/>
        </w:rPr>
      </w:pPr>
      <w:r>
        <w:rPr>
          <w:rFonts w:hint="eastAsia" w:ascii="宋体" w:hAnsi="宋体" w:eastAsia="宋体" w:cs="宋体"/>
          <w:b w:val="0"/>
          <w:bCs w:val="0"/>
          <w:sz w:val="21"/>
          <w:szCs w:val="21"/>
        </w:rPr>
        <w:t>区域边界防护类产品：综合部署了防火墙（入侵防御）、网闸设备，实现了边界物理隔离、访问控制、入侵防范等功能；</w:t>
      </w:r>
    </w:p>
    <w:p>
      <w:pPr>
        <w:pStyle w:val="6"/>
        <w:numPr>
          <w:ilvl w:val="0"/>
          <w:numId w:val="1"/>
        </w:numPr>
        <w:spacing w:line="240" w:lineRule="auto"/>
        <w:ind w:firstLine="369" w:firstLineChars="176"/>
        <w:rPr>
          <w:rFonts w:hint="eastAsia" w:ascii="宋体" w:hAnsi="宋体" w:eastAsia="宋体" w:cs="宋体"/>
          <w:b w:val="0"/>
          <w:bCs w:val="0"/>
          <w:sz w:val="21"/>
          <w:szCs w:val="21"/>
        </w:rPr>
      </w:pPr>
      <w:r>
        <w:rPr>
          <w:rFonts w:hint="eastAsia" w:ascii="宋体" w:hAnsi="宋体" w:eastAsia="宋体" w:cs="宋体"/>
          <w:b w:val="0"/>
          <w:bCs w:val="0"/>
          <w:sz w:val="21"/>
          <w:szCs w:val="21"/>
        </w:rPr>
        <w:t>安全审计类产品：综合部署上网行为管理、数据库审计、日志审计、堡垒机等产品，实现了医院互联网出口上网行为审计、数据库使用及操作行为审计、日志收集与审计、运维审计等安全审计功能；</w:t>
      </w:r>
    </w:p>
    <w:p>
      <w:pPr>
        <w:pStyle w:val="6"/>
        <w:numPr>
          <w:ilvl w:val="0"/>
          <w:numId w:val="1"/>
        </w:numPr>
        <w:spacing w:line="240" w:lineRule="auto"/>
        <w:ind w:firstLine="369" w:firstLineChars="176"/>
        <w:rPr>
          <w:rFonts w:hint="eastAsia" w:ascii="宋体" w:hAnsi="宋体" w:eastAsia="宋体" w:cs="宋体"/>
          <w:b w:val="0"/>
          <w:bCs w:val="0"/>
          <w:sz w:val="21"/>
          <w:szCs w:val="21"/>
        </w:rPr>
      </w:pPr>
      <w:r>
        <w:rPr>
          <w:rFonts w:hint="eastAsia" w:ascii="宋体" w:hAnsi="宋体" w:eastAsia="宋体" w:cs="宋体"/>
          <w:b w:val="0"/>
          <w:bCs w:val="0"/>
          <w:sz w:val="21"/>
          <w:szCs w:val="21"/>
        </w:rPr>
        <w:t>安全管理类产品包括：部署了态势感知，实现了安全设备集中管控、态势感知、追踪溯源、快速处置等安全功能；</w:t>
      </w:r>
    </w:p>
    <w:p>
      <w:pPr>
        <w:pStyle w:val="2"/>
        <w:numPr>
          <w:ilvl w:val="0"/>
          <w:numId w:val="2"/>
        </w:numPr>
        <w:tabs>
          <w:tab w:val="left" w:pos="993"/>
        </w:tabs>
        <w:ind w:left="426"/>
        <w:jc w:val="left"/>
        <w:rPr>
          <w:rFonts w:hint="eastAsia" w:ascii="宋体" w:hAnsi="宋体" w:eastAsia="宋体" w:cs="黑体"/>
          <w:b/>
          <w:kern w:val="44"/>
          <w:sz w:val="21"/>
          <w:szCs w:val="8"/>
          <w:lang w:val="en-US" w:eastAsia="zh-CN" w:bidi="ar-SA"/>
        </w:rPr>
      </w:pPr>
      <w:bookmarkStart w:id="0" w:name="_Toc130388734"/>
      <w:r>
        <w:rPr>
          <w:rFonts w:hint="eastAsia" w:ascii="宋体" w:hAnsi="宋体" w:eastAsia="宋体" w:cs="黑体"/>
          <w:b/>
          <w:kern w:val="44"/>
          <w:sz w:val="21"/>
          <w:szCs w:val="8"/>
          <w:lang w:val="en-US" w:eastAsia="zh-CN" w:bidi="ar-SA"/>
        </w:rPr>
        <w:t>安全设备基础维保服务</w:t>
      </w:r>
      <w:r>
        <w:rPr>
          <w:rFonts w:hint="eastAsia" w:ascii="宋体" w:hAnsi="宋体" w:cs="黑体"/>
          <w:b/>
          <w:kern w:val="44"/>
          <w:sz w:val="21"/>
          <w:szCs w:val="8"/>
          <w:lang w:val="en-US" w:eastAsia="zh-CN" w:bidi="ar-SA"/>
        </w:rPr>
        <w:t>需求</w:t>
      </w:r>
    </w:p>
    <w:p>
      <w:pPr>
        <w:pStyle w:val="6"/>
        <w:spacing w:line="240" w:lineRule="auto"/>
        <w:ind w:firstLine="420" w:firstLineChars="200"/>
        <w:rPr>
          <w:rFonts w:hint="eastAsia" w:ascii="宋体" w:hAnsi="宋体" w:eastAsia="宋体" w:cs="宋体"/>
          <w:b w:val="0"/>
          <w:bCs w:val="0"/>
          <w:sz w:val="21"/>
          <w:szCs w:val="21"/>
        </w:rPr>
      </w:pPr>
      <w:r>
        <w:rPr>
          <w:rFonts w:hint="eastAsia" w:ascii="宋体" w:hAnsi="宋体" w:eastAsia="宋体" w:cs="黑体"/>
          <w:b w:val="0"/>
          <w:bCs w:val="0"/>
          <w:kern w:val="2"/>
          <w:sz w:val="21"/>
          <w:szCs w:val="21"/>
          <w:lang w:val="en-US" w:eastAsia="zh-CN" w:bidi="ar-SA"/>
        </w:rPr>
        <w:t>整体网络中的安全产品部分设备存在过保和特征库到期的问题，无法达到正常的安全防护的水平，存在严重的安全风险，因此需要将相关安全产品进行续保升级服务，从而继续维护整张网络的安全，保障医院内部的相关业务继续安全运营。</w:t>
      </w:r>
      <w:r>
        <w:rPr>
          <w:rFonts w:hint="eastAsia" w:ascii="宋体" w:hAnsi="宋体" w:eastAsia="宋体" w:cs="宋体"/>
          <w:b w:val="0"/>
          <w:bCs w:val="0"/>
          <w:sz w:val="21"/>
          <w:szCs w:val="21"/>
        </w:rPr>
        <w:t>现有网络安全设备过保清单情况如下表：</w:t>
      </w:r>
    </w:p>
    <w:tbl>
      <w:tblPr>
        <w:tblStyle w:val="8"/>
        <w:tblW w:w="48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2691"/>
        <w:gridCol w:w="2265"/>
        <w:gridCol w:w="1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blHeader/>
          <w:jc w:val="center"/>
        </w:trPr>
        <w:tc>
          <w:tcPr>
            <w:tcW w:w="843"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设备名称</w:t>
            </w:r>
          </w:p>
        </w:tc>
        <w:tc>
          <w:tcPr>
            <w:tcW w:w="1372" w:type="pct"/>
            <w:tcBorders>
              <w:tl2br w:val="nil"/>
              <w:tr2bl w:val="nil"/>
            </w:tcBorders>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序列号</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设备过保情况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内网服务器区防火墙1</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Q2007516822</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2</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内网服务器区防火墙2</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Q2007515089</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3</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数据库审计</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Q2007516821</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WAF</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Q2006467727</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5</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堡垒机</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Q2007499291</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6</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日志审计</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Q2007499287</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7</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态势感知</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Q2007499288</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8</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外网防火墙</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Q1911278443</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9</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内网防火墙1</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Q1812046171</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10</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内网防火墙2</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Q1911278444</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11</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网闸</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Q1911278454</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12</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外网入侵检测</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Q1811766120</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13</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网络审计</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Q1907085134</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14</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网络审计</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Q1907085139</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15</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外网上网行为管理</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Q2007499289</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43"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16</w:t>
            </w:r>
          </w:p>
        </w:tc>
        <w:tc>
          <w:tcPr>
            <w:tcW w:w="1630"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内网服务器区IPS</w:t>
            </w:r>
          </w:p>
        </w:tc>
        <w:tc>
          <w:tcPr>
            <w:tcW w:w="1372" w:type="pct"/>
            <w:tcBorders>
              <w:tl2br w:val="nil"/>
              <w:tr2bl w:val="nil"/>
            </w:tcBorders>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Q2007499290</w:t>
            </w:r>
          </w:p>
        </w:tc>
        <w:tc>
          <w:tcPr>
            <w:tcW w:w="1155"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已过保</w:t>
            </w:r>
          </w:p>
        </w:tc>
      </w:tr>
    </w:tbl>
    <w:p>
      <w:pPr>
        <w:pStyle w:val="6"/>
        <w:numPr>
          <w:ilvl w:val="0"/>
          <w:numId w:val="2"/>
        </w:numPr>
        <w:spacing w:line="240" w:lineRule="auto"/>
        <w:ind w:left="426" w:leftChars="0" w:firstLine="0" w:firstLineChars="0"/>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安全设备软件升级服务</w:t>
      </w:r>
      <w:r>
        <w:rPr>
          <w:rFonts w:hint="eastAsia" w:ascii="宋体" w:hAnsi="宋体" w:cs="宋体"/>
          <w:b/>
          <w:bCs/>
          <w:i w:val="0"/>
          <w:iCs w:val="0"/>
          <w:color w:val="000000"/>
          <w:kern w:val="0"/>
          <w:sz w:val="21"/>
          <w:szCs w:val="21"/>
          <w:u w:val="none"/>
          <w:lang w:val="en-US" w:eastAsia="zh-CN" w:bidi="ar"/>
        </w:rPr>
        <w:t>需求</w:t>
      </w:r>
    </w:p>
    <w:p>
      <w:pPr>
        <w:pStyle w:val="6"/>
        <w:numPr>
          <w:ilvl w:val="0"/>
          <w:numId w:val="0"/>
        </w:numPr>
        <w:spacing w:line="240" w:lineRule="auto"/>
        <w:ind w:left="426" w:leftChars="0"/>
        <w:rPr>
          <w:rFonts w:hint="eastAsia" w:ascii="宋体" w:hAnsi="宋体" w:eastAsia="宋体" w:cs="宋体"/>
          <w:b w:val="0"/>
          <w:bCs w:val="0"/>
          <w:sz w:val="21"/>
          <w:szCs w:val="21"/>
        </w:rPr>
      </w:pPr>
      <w:r>
        <w:rPr>
          <w:rFonts w:hint="eastAsia" w:ascii="宋体" w:hAnsi="宋体" w:eastAsia="宋体" w:cs="宋体"/>
          <w:b w:val="0"/>
          <w:bCs w:val="0"/>
          <w:sz w:val="21"/>
          <w:szCs w:val="21"/>
        </w:rPr>
        <w:t>现有网络安全产品特征库到期情况如下表：</w:t>
      </w:r>
    </w:p>
    <w:tbl>
      <w:tblPr>
        <w:tblStyle w:val="8"/>
        <w:tblW w:w="485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8"/>
        <w:gridCol w:w="2672"/>
        <w:gridCol w:w="4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blHeader/>
          <w:jc w:val="center"/>
        </w:trPr>
        <w:tc>
          <w:tcPr>
            <w:tcW w:w="850"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设备名称</w:t>
            </w:r>
          </w:p>
        </w:tc>
        <w:tc>
          <w:tcPr>
            <w:tcW w:w="2536" w:type="pct"/>
            <w:tcBorders>
              <w:tl2br w:val="nil"/>
              <w:tr2bl w:val="nil"/>
            </w:tcBorders>
            <w:shd w:val="clear" w:color="auto" w:fill="auto"/>
            <w:vAlign w:val="center"/>
          </w:tcPr>
          <w:p>
            <w:pPr>
              <w:spacing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设备过保情况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1</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杀毒软件</w:t>
            </w:r>
          </w:p>
        </w:tc>
        <w:tc>
          <w:tcPr>
            <w:tcW w:w="2536"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2</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WAF</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3</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外网防火墙</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4</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外网入侵检测</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5</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网络审计</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6</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网络审计</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7</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外网上网行为管理</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850" w:type="pct"/>
            <w:tcBorders>
              <w:tl2br w:val="nil"/>
              <w:tr2bl w:val="nil"/>
            </w:tcBorders>
            <w:shd w:val="clear" w:color="auto" w:fill="auto"/>
            <w:vAlign w:val="center"/>
          </w:tcPr>
          <w:p>
            <w:pPr>
              <w:spacing w:line="240" w:lineRule="auto"/>
              <w:ind w:firstLine="420"/>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8</w:t>
            </w:r>
          </w:p>
        </w:tc>
        <w:tc>
          <w:tcPr>
            <w:tcW w:w="1613" w:type="pct"/>
            <w:tcBorders>
              <w:tl2br w:val="nil"/>
              <w:tr2bl w:val="nil"/>
            </w:tcBorders>
            <w:shd w:val="clear" w:color="auto" w:fill="auto"/>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内网服务器区IPS</w:t>
            </w:r>
          </w:p>
        </w:tc>
        <w:tc>
          <w:tcPr>
            <w:tcW w:w="2536" w:type="pct"/>
            <w:tcBorders>
              <w:tl2br w:val="nil"/>
              <w:tr2bl w:val="nil"/>
            </w:tcBorders>
            <w:shd w:val="clear" w:color="auto" w:fill="auto"/>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已过期</w:t>
            </w:r>
          </w:p>
        </w:tc>
      </w:tr>
    </w:tbl>
    <w:p>
      <w:pPr>
        <w:pStyle w:val="6"/>
        <w:spacing w:line="240" w:lineRule="auto"/>
        <w:rPr>
          <w:rFonts w:hint="eastAsia" w:ascii="宋体" w:hAnsi="宋体" w:eastAsia="宋体" w:cs="黑体"/>
          <w:b/>
          <w:bCs/>
          <w:kern w:val="44"/>
          <w:sz w:val="21"/>
          <w:szCs w:val="8"/>
          <w:lang w:val="en-US" w:eastAsia="zh-CN" w:bidi="ar-SA"/>
        </w:rPr>
      </w:pPr>
      <w:r>
        <w:rPr>
          <w:rFonts w:hint="eastAsia" w:ascii="宋体" w:hAnsi="宋体" w:eastAsia="宋体" w:cs="宋体"/>
          <w:b/>
          <w:bCs/>
          <w:i w:val="0"/>
          <w:iCs w:val="0"/>
          <w:color w:val="000000"/>
          <w:kern w:val="0"/>
          <w:sz w:val="21"/>
          <w:szCs w:val="21"/>
          <w:u w:val="none"/>
          <w:lang w:val="en-US" w:eastAsia="zh-CN" w:bidi="ar"/>
        </w:rPr>
        <w:t>（三）新增安全设备租赁</w:t>
      </w:r>
    </w:p>
    <w:p>
      <w:pPr>
        <w:pStyle w:val="2"/>
        <w:numPr>
          <w:ilvl w:val="0"/>
          <w:numId w:val="0"/>
        </w:numPr>
        <w:tabs>
          <w:tab w:val="left" w:pos="993"/>
        </w:tabs>
        <w:ind w:firstLine="422" w:firstLineChars="200"/>
        <w:jc w:val="left"/>
        <w:rPr>
          <w:rFonts w:hint="eastAsia" w:ascii="宋体" w:hAnsi="宋体"/>
          <w:b w:val="0"/>
          <w:bCs w:val="0"/>
          <w:sz w:val="21"/>
          <w:szCs w:val="21"/>
        </w:rPr>
      </w:pPr>
      <w:r>
        <w:rPr>
          <w:rFonts w:hint="eastAsia" w:ascii="宋体" w:hAnsi="宋体" w:eastAsia="宋体"/>
          <w:sz w:val="21"/>
          <w:szCs w:val="8"/>
        </w:rPr>
        <w:t>区域边界安全加固需求</w:t>
      </w:r>
      <w:bookmarkEnd w:id="0"/>
      <w:r>
        <w:rPr>
          <w:rFonts w:hint="eastAsia" w:ascii="宋体" w:hAnsi="宋体"/>
          <w:sz w:val="21"/>
          <w:szCs w:val="8"/>
          <w:lang w:val="en-US" w:eastAsia="zh-CN"/>
        </w:rPr>
        <w:t xml:space="preserve">  </w:t>
      </w:r>
      <w:r>
        <w:rPr>
          <w:rFonts w:hint="eastAsia" w:ascii="宋体" w:hAnsi="宋体"/>
          <w:b w:val="0"/>
          <w:bCs w:val="0"/>
          <w:sz w:val="21"/>
          <w:szCs w:val="21"/>
        </w:rPr>
        <w:t>医院目前本部内网Vmware服务器集群区出口部署了2台防火墙做双机热备，东院内网Vmware服务器集群区出口暂未部署，存在安全隐患，根据等保2.0 网络架构要求“应提供通信线路、关键网络设备和关键计算设备的硬件冗余，保证系统的高可用性”，因此需要在东院内网Vmware服务器集群区出口处部署2台防火墙设备进行冗余部署。当前互联网出口处入侵防御设备为单台部署，存在安全隐患，为了保障网络出口边界的高可用性，在外网出口处新增</w:t>
      </w:r>
      <w:r>
        <w:rPr>
          <w:rFonts w:hint="eastAsia" w:ascii="宋体" w:hAnsi="宋体"/>
          <w:b w:val="0"/>
          <w:bCs w:val="0"/>
          <w:sz w:val="21"/>
          <w:szCs w:val="21"/>
          <w:lang w:val="en-US" w:eastAsia="zh-CN"/>
        </w:rPr>
        <w:t>1</w:t>
      </w:r>
      <w:r>
        <w:rPr>
          <w:rFonts w:hint="eastAsia" w:ascii="宋体" w:hAnsi="宋体"/>
          <w:b w:val="0"/>
          <w:bCs w:val="0"/>
          <w:sz w:val="21"/>
          <w:szCs w:val="21"/>
        </w:rPr>
        <w:t>台入侵防御设备做冗余部署。</w:t>
      </w:r>
      <w:bookmarkStart w:id="1" w:name="_Toc130388736"/>
    </w:p>
    <w:p>
      <w:pPr>
        <w:pStyle w:val="2"/>
        <w:numPr>
          <w:ilvl w:val="0"/>
          <w:numId w:val="0"/>
        </w:numPr>
        <w:tabs>
          <w:tab w:val="left" w:pos="993"/>
        </w:tabs>
        <w:ind w:firstLine="422" w:firstLineChars="200"/>
        <w:jc w:val="left"/>
        <w:rPr>
          <w:rFonts w:hint="eastAsia" w:ascii="宋体" w:hAnsi="宋体" w:eastAsia="宋体" w:cs="黑体"/>
          <w:b w:val="0"/>
          <w:bCs w:val="0"/>
          <w:kern w:val="2"/>
          <w:sz w:val="21"/>
          <w:szCs w:val="21"/>
          <w:lang w:val="en-US" w:eastAsia="zh-CN" w:bidi="ar-SA"/>
        </w:rPr>
      </w:pPr>
      <w:r>
        <w:rPr>
          <w:rFonts w:hint="eastAsia" w:ascii="宋体" w:hAnsi="宋体" w:eastAsia="宋体"/>
          <w:sz w:val="21"/>
          <w:szCs w:val="20"/>
        </w:rPr>
        <w:t>杀毒软件</w:t>
      </w:r>
      <w:r>
        <w:rPr>
          <w:rFonts w:hint="eastAsia" w:ascii="宋体" w:hAnsi="宋体"/>
          <w:sz w:val="21"/>
          <w:szCs w:val="20"/>
          <w:lang w:val="en-US" w:eastAsia="zh-CN"/>
        </w:rPr>
        <w:t>增加授权使用数</w:t>
      </w:r>
      <w:r>
        <w:rPr>
          <w:rFonts w:hint="eastAsia" w:ascii="宋体" w:hAnsi="宋体" w:eastAsia="宋体"/>
          <w:sz w:val="21"/>
          <w:szCs w:val="20"/>
        </w:rPr>
        <w:t>需求</w:t>
      </w:r>
      <w:bookmarkEnd w:id="1"/>
      <w:r>
        <w:rPr>
          <w:rFonts w:hint="eastAsia" w:ascii="宋体" w:hAnsi="宋体"/>
          <w:sz w:val="21"/>
          <w:szCs w:val="20"/>
          <w:lang w:val="en-US" w:eastAsia="zh-CN"/>
        </w:rPr>
        <w:t xml:space="preserve">  </w:t>
      </w:r>
      <w:r>
        <w:rPr>
          <w:rFonts w:hint="eastAsia" w:ascii="宋体" w:hAnsi="宋体" w:eastAsia="宋体" w:cs="黑体"/>
          <w:b w:val="0"/>
          <w:bCs w:val="0"/>
          <w:kern w:val="2"/>
          <w:sz w:val="21"/>
          <w:szCs w:val="21"/>
          <w:lang w:val="en-US" w:eastAsia="zh-CN" w:bidi="ar-SA"/>
        </w:rPr>
        <w:t>随着医院业务及人员的不断扩大，杀毒软件终端授权已经满足不了当前现状，需要增</w:t>
      </w:r>
      <w:r>
        <w:rPr>
          <w:rFonts w:hint="eastAsia" w:ascii="宋体" w:hAnsi="宋体" w:cs="黑体"/>
          <w:b w:val="0"/>
          <w:bCs w:val="0"/>
          <w:kern w:val="2"/>
          <w:sz w:val="21"/>
          <w:szCs w:val="21"/>
          <w:lang w:val="en-US" w:eastAsia="zh-CN" w:bidi="ar-SA"/>
        </w:rPr>
        <w:t>加</w:t>
      </w:r>
      <w:r>
        <w:rPr>
          <w:rFonts w:hint="eastAsia" w:ascii="宋体" w:hAnsi="宋体" w:eastAsia="宋体" w:cs="宋体"/>
          <w:b w:val="0"/>
          <w:bCs w:val="0"/>
          <w:i w:val="0"/>
          <w:iCs w:val="0"/>
          <w:color w:val="000000"/>
          <w:kern w:val="0"/>
          <w:sz w:val="20"/>
          <w:szCs w:val="20"/>
          <w:u w:val="none"/>
          <w:lang w:val="en-US" w:eastAsia="zh-CN" w:bidi="ar"/>
        </w:rPr>
        <w:t>100个WINDOWS服务器</w:t>
      </w:r>
      <w:r>
        <w:rPr>
          <w:rFonts w:hint="eastAsia" w:ascii="宋体" w:hAnsi="宋体" w:cs="宋体"/>
          <w:b w:val="0"/>
          <w:bCs w:val="0"/>
          <w:i w:val="0"/>
          <w:iCs w:val="0"/>
          <w:color w:val="000000"/>
          <w:kern w:val="0"/>
          <w:sz w:val="20"/>
          <w:szCs w:val="20"/>
          <w:u w:val="none"/>
          <w:lang w:val="en-US" w:eastAsia="zh-CN" w:bidi="ar"/>
        </w:rPr>
        <w:t>和</w:t>
      </w:r>
      <w:r>
        <w:rPr>
          <w:rFonts w:hint="eastAsia" w:ascii="宋体" w:hAnsi="宋体" w:cs="黑体"/>
          <w:b w:val="0"/>
          <w:bCs w:val="0"/>
          <w:kern w:val="2"/>
          <w:sz w:val="21"/>
          <w:szCs w:val="21"/>
          <w:lang w:val="en-US" w:eastAsia="zh-CN" w:bidi="ar-SA"/>
        </w:rPr>
        <w:t>2</w:t>
      </w:r>
      <w:r>
        <w:rPr>
          <w:rFonts w:hint="eastAsia" w:ascii="宋体" w:hAnsi="宋体" w:eastAsia="宋体" w:cs="黑体"/>
          <w:b w:val="0"/>
          <w:bCs w:val="0"/>
          <w:kern w:val="2"/>
          <w:sz w:val="21"/>
          <w:szCs w:val="21"/>
          <w:lang w:val="en-US" w:eastAsia="zh-CN" w:bidi="ar-SA"/>
        </w:rPr>
        <w:t>00个PC客户端</w:t>
      </w:r>
      <w:r>
        <w:rPr>
          <w:rFonts w:hint="eastAsia" w:ascii="宋体" w:hAnsi="宋体" w:cs="黑体"/>
          <w:b w:val="0"/>
          <w:bCs w:val="0"/>
          <w:kern w:val="2"/>
          <w:sz w:val="21"/>
          <w:szCs w:val="21"/>
          <w:lang w:val="en-US" w:eastAsia="zh-CN" w:bidi="ar-SA"/>
        </w:rPr>
        <w:t>使用授权</w:t>
      </w:r>
      <w:r>
        <w:rPr>
          <w:rFonts w:hint="eastAsia" w:ascii="宋体" w:hAnsi="宋体" w:eastAsia="宋体" w:cs="黑体"/>
          <w:b w:val="0"/>
          <w:bCs w:val="0"/>
          <w:kern w:val="2"/>
          <w:sz w:val="21"/>
          <w:szCs w:val="21"/>
          <w:lang w:val="en-US" w:eastAsia="zh-CN" w:bidi="ar-SA"/>
        </w:rPr>
        <w:t>。</w:t>
      </w:r>
    </w:p>
    <w:p>
      <w:pPr>
        <w:pStyle w:val="4"/>
        <w:spacing w:line="240" w:lineRule="auto"/>
        <w:ind w:firstLine="422" w:firstLineChars="200"/>
        <w:rPr>
          <w:rFonts w:hint="default" w:ascii="宋体" w:hAnsi="宋体" w:eastAsia="宋体" w:cs="宋体"/>
          <w:b/>
          <w:bCs/>
          <w:i w:val="0"/>
          <w:iCs w:val="0"/>
          <w:color w:val="000000"/>
          <w:kern w:val="0"/>
          <w:sz w:val="21"/>
          <w:szCs w:val="21"/>
          <w:u w:val="none"/>
          <w:lang w:val="en-US" w:eastAsia="zh-CN" w:bidi="ar"/>
        </w:rPr>
      </w:pPr>
      <w:r>
        <w:rPr>
          <w:rFonts w:hint="eastAsia" w:ascii="宋体" w:hAnsi="宋体" w:cs="黑体"/>
          <w:b/>
          <w:bCs/>
          <w:kern w:val="2"/>
          <w:sz w:val="21"/>
          <w:szCs w:val="21"/>
          <w:lang w:val="en-US" w:eastAsia="zh-CN" w:bidi="ar-SA"/>
        </w:rPr>
        <w:t>（四）</w:t>
      </w:r>
      <w:r>
        <w:rPr>
          <w:rFonts w:hint="eastAsia" w:ascii="宋体" w:hAnsi="宋体" w:eastAsia="宋体" w:cs="宋体"/>
          <w:b/>
          <w:bCs/>
          <w:i w:val="0"/>
          <w:iCs w:val="0"/>
          <w:color w:val="000000"/>
          <w:kern w:val="0"/>
          <w:sz w:val="21"/>
          <w:szCs w:val="21"/>
          <w:u w:val="none"/>
          <w:lang w:val="en-US" w:eastAsia="zh-CN" w:bidi="ar"/>
        </w:rPr>
        <w:t>其他安全设备租赁</w:t>
      </w:r>
      <w:r>
        <w:rPr>
          <w:rFonts w:hint="eastAsia" w:ascii="宋体" w:hAnsi="宋体" w:cs="宋体"/>
          <w:b/>
          <w:bCs/>
          <w:i w:val="0"/>
          <w:iCs w:val="0"/>
          <w:color w:val="000000"/>
          <w:kern w:val="0"/>
          <w:sz w:val="21"/>
          <w:szCs w:val="21"/>
          <w:u w:val="none"/>
          <w:lang w:val="en-US" w:eastAsia="zh-CN" w:bidi="ar"/>
        </w:rPr>
        <w:t>和服务需求</w:t>
      </w:r>
    </w:p>
    <w:p>
      <w:pPr>
        <w:ind w:firstLine="422" w:firstLineChars="200"/>
        <w:rPr>
          <w:rFonts w:hint="eastAsia" w:ascii="宋体" w:hAnsi="宋体" w:eastAsia="宋体" w:cs="宋体"/>
          <w:b w:val="0"/>
          <w:bCs w:val="0"/>
          <w:i w:val="0"/>
          <w:iCs w:val="0"/>
          <w:color w:val="000000"/>
          <w:kern w:val="0"/>
          <w:sz w:val="20"/>
          <w:szCs w:val="20"/>
          <w:u w:val="none"/>
          <w:lang w:val="en-US" w:eastAsia="zh-CN" w:bidi="ar"/>
        </w:rPr>
      </w:pPr>
      <w:bookmarkStart w:id="2" w:name="_Toc130388735"/>
      <w:r>
        <w:rPr>
          <w:rFonts w:hint="default" w:ascii="宋体" w:hAnsi="宋体" w:eastAsia="宋体" w:cs="黑体"/>
          <w:b/>
          <w:bCs/>
          <w:kern w:val="2"/>
          <w:sz w:val="21"/>
          <w:szCs w:val="20"/>
          <w:lang w:val="en-US" w:eastAsia="zh-CN" w:bidi="ar-SA"/>
        </w:rPr>
        <w:t>服务器虚拟化性能监控</w:t>
      </w:r>
      <w:r>
        <w:rPr>
          <w:rFonts w:hint="eastAsia" w:ascii="宋体" w:hAnsi="宋体" w:eastAsia="宋体" w:cs="黑体"/>
          <w:b/>
          <w:bCs/>
          <w:kern w:val="2"/>
          <w:sz w:val="21"/>
          <w:szCs w:val="20"/>
          <w:lang w:val="en-US" w:eastAsia="zh-CN" w:bidi="ar-SA"/>
        </w:rPr>
        <w:t>需求</w:t>
      </w:r>
      <w:r>
        <w:rPr>
          <w:rFonts w:hint="eastAsia" w:ascii="宋体" w:hAnsi="宋体" w:cs="黑体"/>
          <w:b/>
          <w:bCs/>
          <w:kern w:val="2"/>
          <w:sz w:val="21"/>
          <w:szCs w:val="20"/>
          <w:lang w:val="en-US" w:eastAsia="zh-CN" w:bidi="ar-SA"/>
        </w:rPr>
        <w:t xml:space="preserve">  </w:t>
      </w:r>
      <w:r>
        <w:rPr>
          <w:rFonts w:hint="eastAsia" w:ascii="宋体" w:hAnsi="宋体" w:eastAsia="宋体" w:cs="宋体"/>
          <w:b w:val="0"/>
          <w:bCs w:val="0"/>
          <w:i w:val="0"/>
          <w:iCs w:val="0"/>
          <w:color w:val="000000"/>
          <w:kern w:val="0"/>
          <w:sz w:val="20"/>
          <w:szCs w:val="20"/>
          <w:u w:val="none"/>
          <w:lang w:val="en-US" w:eastAsia="zh-CN" w:bidi="ar"/>
        </w:rPr>
        <w:t>支持远程方式的VMware虚拟化监控，无需在VCenter服务器本地安装代理程序；支持同时对多个vCenter服务器的统一监控与管理，只通过使用一个统一的监控界面即可进行展现，在监控规模上能够支持10000个虚拟机的监控规模；虚拟化架构完整层次展现：能够实现通过清晰的高层次的可视化的描述和理解虚拟基础架构；对虚拟架构各个层面进行监控，包括数据中心层，资源池层，集群层、物理机层、虚拟机层、数据存储层、虚拟交换机层等；能够采集虚拟化环境的关键性能指标，包括但不限于以下指标：CPU使用率、已使用的cpu（HZ）、就绪的cpu百分比、内存使用率、活动内存量、空闲内存量、共享内存量、网络包发送速度、网络包接收速度、磁盘读出速度、磁盘写入速度等；支持对物理机的性能监控：通过监控虚拟化架构中的物理服务器上的内存、CPU、磁盘IO和网络IO等关键资源类型；支持容量预测功能：能够对虚拟化环境的虚拟机容量进行分析与预测，能够自动计算现有CPU、内存、磁盘资源能够支撑的虚拟机规模，并提供容量规划的专家建议。支持用户自定义容量预测计算模型；支持资源分配的优化建议功能：能够通过对虚拟化性能监控的历史数据自动分析并生成对CPU、内存、磁盘容量、已关闭虚拟机、弃用的虚拟机镜像、不使用的虚拟机模板和快照、僵尸虚拟机等方面的优化建议；并支持对资源回收的一键式操作；提供虚拟机迁移分析功能，可以在新加入虚拟机或虚拟机迁移前，分析加入的虚拟机对当前虚拟架构的资源消耗影响情况；支持虚拟机管理功能：能够支持基本的虚拟机管理功能，如启动、关闭虚拟机，重启虚拟机，编辑虚拟机属性等；提供常用性能指标的Top N排名统计功能；支持对虚拟主机上操作系统的进程进行监控。展示操作系统进程的CPU、内存、交换区、I/O等资源使用信息。提供从进程的角度分析虚拟机性能问题原因的技术手段</w:t>
      </w:r>
      <w:r>
        <w:rPr>
          <w:rFonts w:hint="eastAsia" w:ascii="宋体" w:hAnsi="宋体" w:cs="宋体"/>
          <w:b w:val="0"/>
          <w:bCs w:val="0"/>
          <w:i w:val="0"/>
          <w:iCs w:val="0"/>
          <w:color w:val="000000"/>
          <w:kern w:val="0"/>
          <w:sz w:val="20"/>
          <w:szCs w:val="20"/>
          <w:u w:val="none"/>
          <w:lang w:val="en-US" w:eastAsia="zh-CN" w:bidi="ar"/>
        </w:rPr>
        <w:t>；</w:t>
      </w:r>
      <w:r>
        <w:rPr>
          <w:rFonts w:hint="eastAsia" w:ascii="宋体" w:hAnsi="宋体" w:eastAsia="宋体" w:cs="宋体"/>
          <w:b w:val="0"/>
          <w:bCs w:val="0"/>
          <w:i w:val="0"/>
          <w:iCs w:val="0"/>
          <w:color w:val="000000"/>
          <w:kern w:val="0"/>
          <w:sz w:val="20"/>
          <w:szCs w:val="20"/>
          <w:u w:val="none"/>
          <w:lang w:val="en-US" w:eastAsia="zh-CN" w:bidi="ar"/>
        </w:rPr>
        <w:t>可通过增加组件同时监控如Oracle，Sql Server,Mysql等主流的数据库系统，方便通过关联分析综合定位性能问题瓶颈，在同一平面分析性能趋势，评估可能存在的性能风险，提前做好预判。需内置虚拟化日常运维报表且提供报表二次开发接口，可根据实际需要灵活定制</w:t>
      </w:r>
      <w:r>
        <w:rPr>
          <w:rFonts w:hint="eastAsia" w:ascii="宋体" w:hAnsi="宋体" w:cs="宋体"/>
          <w:b w:val="0"/>
          <w:bCs w:val="0"/>
          <w:i w:val="0"/>
          <w:iCs w:val="0"/>
          <w:color w:val="000000"/>
          <w:kern w:val="0"/>
          <w:sz w:val="20"/>
          <w:szCs w:val="20"/>
          <w:u w:val="none"/>
          <w:lang w:val="en-US" w:eastAsia="zh-CN" w:bidi="ar"/>
        </w:rPr>
        <w:t>；</w:t>
      </w:r>
      <w:r>
        <w:rPr>
          <w:rFonts w:hint="eastAsia" w:ascii="宋体" w:hAnsi="宋体" w:eastAsia="宋体" w:cs="宋体"/>
          <w:b w:val="0"/>
          <w:bCs w:val="0"/>
          <w:i w:val="0"/>
          <w:iCs w:val="0"/>
          <w:color w:val="000000"/>
          <w:kern w:val="0"/>
          <w:sz w:val="20"/>
          <w:szCs w:val="20"/>
          <w:u w:val="none"/>
          <w:lang w:val="en-US" w:eastAsia="zh-CN" w:bidi="ar"/>
        </w:rPr>
        <w:t>提供丰富的报警接口，根据内置规则或自定规则及时预警各类异常</w:t>
      </w:r>
      <w:r>
        <w:rPr>
          <w:rFonts w:hint="eastAsia" w:ascii="宋体" w:hAnsi="宋体" w:cs="宋体"/>
          <w:b w:val="0"/>
          <w:bCs w:val="0"/>
          <w:i w:val="0"/>
          <w:iCs w:val="0"/>
          <w:color w:val="000000"/>
          <w:kern w:val="0"/>
          <w:sz w:val="20"/>
          <w:szCs w:val="20"/>
          <w:u w:val="none"/>
          <w:lang w:val="en-US" w:eastAsia="zh-CN" w:bidi="ar"/>
        </w:rPr>
        <w:t>；</w:t>
      </w:r>
      <w:r>
        <w:rPr>
          <w:rFonts w:hint="eastAsia" w:ascii="宋体" w:hAnsi="宋体" w:eastAsia="宋体" w:cs="宋体"/>
          <w:b w:val="0"/>
          <w:bCs w:val="0"/>
          <w:i w:val="0"/>
          <w:iCs w:val="0"/>
          <w:color w:val="000000"/>
          <w:kern w:val="0"/>
          <w:sz w:val="20"/>
          <w:szCs w:val="20"/>
          <w:u w:val="none"/>
          <w:lang w:val="en-US" w:eastAsia="zh-CN" w:bidi="ar"/>
        </w:rPr>
        <w:t>可以支持VMware、Hyper-V、OpenStack、KVM等虚拟化平台性能监控</w:t>
      </w:r>
      <w:r>
        <w:rPr>
          <w:rFonts w:hint="eastAsia" w:ascii="宋体" w:hAnsi="宋体" w:cs="宋体"/>
          <w:b w:val="0"/>
          <w:bCs w:val="0"/>
          <w:i w:val="0"/>
          <w:iCs w:val="0"/>
          <w:color w:val="000000"/>
          <w:kern w:val="0"/>
          <w:sz w:val="20"/>
          <w:szCs w:val="20"/>
          <w:u w:val="none"/>
          <w:lang w:val="en-US" w:eastAsia="zh-CN" w:bidi="ar"/>
        </w:rPr>
        <w:t>；</w:t>
      </w:r>
      <w:r>
        <w:rPr>
          <w:rFonts w:hint="eastAsia" w:ascii="宋体" w:hAnsi="宋体" w:eastAsia="宋体" w:cs="宋体"/>
          <w:b w:val="0"/>
          <w:bCs w:val="0"/>
          <w:i w:val="0"/>
          <w:iCs w:val="0"/>
          <w:color w:val="000000"/>
          <w:kern w:val="0"/>
          <w:sz w:val="20"/>
          <w:szCs w:val="20"/>
          <w:u w:val="none"/>
          <w:lang w:val="en-US" w:eastAsia="zh-CN" w:bidi="ar"/>
        </w:rPr>
        <w:t>可以支持Dell、EMC、NetApp、HDS</w:t>
      </w:r>
      <w:r>
        <w:rPr>
          <w:rFonts w:hint="eastAsia" w:ascii="宋体" w:hAnsi="宋体" w:cs="宋体"/>
          <w:b w:val="0"/>
          <w:bCs w:val="0"/>
          <w:i w:val="0"/>
          <w:iCs w:val="0"/>
          <w:color w:val="000000"/>
          <w:kern w:val="0"/>
          <w:sz w:val="20"/>
          <w:szCs w:val="20"/>
          <w:u w:val="none"/>
          <w:lang w:val="en-US" w:eastAsia="zh-CN" w:bidi="ar"/>
        </w:rPr>
        <w:t>、</w:t>
      </w:r>
      <w:r>
        <w:rPr>
          <w:rFonts w:hint="eastAsia" w:ascii="宋体" w:hAnsi="宋体" w:eastAsia="宋体" w:cs="宋体"/>
          <w:b w:val="0"/>
          <w:bCs w:val="0"/>
          <w:i w:val="0"/>
          <w:iCs w:val="0"/>
          <w:color w:val="000000"/>
          <w:kern w:val="0"/>
          <w:sz w:val="20"/>
          <w:szCs w:val="20"/>
          <w:u w:val="none"/>
          <w:lang w:val="en-US" w:eastAsia="zh-CN" w:bidi="ar"/>
        </w:rPr>
        <w:t>HP</w:t>
      </w:r>
      <w:r>
        <w:rPr>
          <w:rFonts w:hint="eastAsia" w:ascii="宋体" w:hAnsi="宋体" w:cs="宋体"/>
          <w:b w:val="0"/>
          <w:bCs w:val="0"/>
          <w:i w:val="0"/>
          <w:iCs w:val="0"/>
          <w:color w:val="000000"/>
          <w:kern w:val="0"/>
          <w:sz w:val="20"/>
          <w:szCs w:val="20"/>
          <w:u w:val="none"/>
          <w:lang w:val="en-US" w:eastAsia="zh-CN" w:bidi="ar"/>
        </w:rPr>
        <w:t>等各类</w:t>
      </w:r>
      <w:r>
        <w:rPr>
          <w:rFonts w:hint="eastAsia" w:ascii="宋体" w:hAnsi="宋体" w:eastAsia="宋体" w:cs="宋体"/>
          <w:b w:val="0"/>
          <w:bCs w:val="0"/>
          <w:i w:val="0"/>
          <w:iCs w:val="0"/>
          <w:color w:val="000000"/>
          <w:kern w:val="0"/>
          <w:sz w:val="20"/>
          <w:szCs w:val="20"/>
          <w:u w:val="none"/>
          <w:lang w:val="en-US" w:eastAsia="zh-CN" w:bidi="ar"/>
        </w:rPr>
        <w:t>存储的性能监控。</w:t>
      </w:r>
    </w:p>
    <w:p>
      <w:pPr>
        <w:ind w:firstLine="422" w:firstLineChars="200"/>
        <w:rPr>
          <w:rFonts w:hint="eastAsia" w:ascii="宋体" w:hAnsi="宋体"/>
          <w:b w:val="0"/>
          <w:bCs w:val="0"/>
          <w:sz w:val="21"/>
          <w:szCs w:val="21"/>
        </w:rPr>
      </w:pPr>
      <w:r>
        <w:rPr>
          <w:rFonts w:hint="eastAsia" w:ascii="宋体" w:hAnsi="宋体" w:eastAsia="宋体"/>
          <w:b/>
          <w:bCs/>
          <w:sz w:val="21"/>
          <w:szCs w:val="20"/>
        </w:rPr>
        <w:t>虚拟化“东西向”安全防护需求</w:t>
      </w:r>
      <w:bookmarkEnd w:id="2"/>
      <w:r>
        <w:rPr>
          <w:rFonts w:hint="eastAsia" w:ascii="宋体" w:hAnsi="宋体" w:eastAsia="宋体"/>
          <w:sz w:val="21"/>
          <w:szCs w:val="20"/>
          <w:lang w:val="en-US" w:eastAsia="zh-CN"/>
        </w:rPr>
        <w:t xml:space="preserve">  </w:t>
      </w:r>
      <w:r>
        <w:rPr>
          <w:rFonts w:hint="eastAsia" w:ascii="宋体" w:hAnsi="宋体"/>
          <w:b w:val="0"/>
          <w:bCs w:val="0"/>
          <w:sz w:val="21"/>
          <w:szCs w:val="21"/>
        </w:rPr>
        <w:t>由于传统安全防护手段无法感知虚拟机之间的通信流量，无法洞悉云环境内存在的威胁，一旦攻击者在企业系统中站稳脚跟，将会进一步横向（虚机之间东西向）蔓延，导致威胁范围快速扩大，因此需要在本部和东院内网Vmware服务器集群区中部署若干套虚拟化分布式防火墙来从而保障虚拟机之间东西向的安全。</w:t>
      </w:r>
    </w:p>
    <w:p>
      <w:pPr>
        <w:rPr>
          <w:rFonts w:hint="eastAsia"/>
        </w:rPr>
      </w:pPr>
      <w:bookmarkStart w:id="3" w:name="_Toc130388737"/>
      <w:r>
        <w:rPr>
          <w:rFonts w:hint="eastAsia" w:ascii="宋体" w:hAnsi="宋体" w:eastAsia="宋体"/>
          <w:sz w:val="21"/>
          <w:szCs w:val="20"/>
        </w:rPr>
        <w:t>专业安全服务需求</w:t>
      </w:r>
      <w:bookmarkEnd w:id="3"/>
      <w:r>
        <w:rPr>
          <w:rFonts w:hint="eastAsia" w:ascii="宋体" w:hAnsi="宋体"/>
          <w:sz w:val="21"/>
          <w:szCs w:val="20"/>
          <w:lang w:val="en-US" w:eastAsia="zh-CN"/>
        </w:rPr>
        <w:t xml:space="preserve">  </w:t>
      </w:r>
      <w:r>
        <w:rPr>
          <w:rFonts w:hint="eastAsia" w:ascii="宋体" w:hAnsi="宋体" w:eastAsia="宋体" w:cs="黑体"/>
          <w:b w:val="0"/>
          <w:bCs w:val="0"/>
          <w:kern w:val="2"/>
          <w:sz w:val="21"/>
          <w:szCs w:val="21"/>
          <w:lang w:val="en-US" w:eastAsia="zh-CN" w:bidi="ar-SA"/>
        </w:rPr>
        <w:t>安全系统的运维要求专业技术较高，医院专业安全技术人员不足，在系统建设与运行期需引入专业的安全运维团队进行支撑，来保障系统的稳定安全运行，同时通过专业的安全运维和安全培训，逐步建立能持续完善、自我优化的安全运维体系。</w:t>
      </w:r>
    </w:p>
    <w:p>
      <w:pPr>
        <w:pStyle w:val="5"/>
        <w:rPr>
          <w:rFonts w:hint="default" w:ascii="宋体" w:hAnsi="宋体" w:eastAsia="宋体" w:cs="黑体"/>
          <w:b/>
          <w:bCs/>
          <w:kern w:val="2"/>
          <w:sz w:val="21"/>
          <w:szCs w:val="20"/>
          <w:lang w:val="en-US" w:eastAsia="zh-CN" w:bidi="ar-SA"/>
        </w:rPr>
      </w:pPr>
    </w:p>
    <w:p>
      <w:pPr>
        <w:widowControl/>
        <w:ind w:firstLine="422" w:firstLineChars="200"/>
        <w:jc w:val="left"/>
        <w:rPr>
          <w:rFonts w:hint="eastAsia" w:eastAsia="宋体"/>
          <w:lang w:eastAsia="zh-CN"/>
        </w:rPr>
      </w:pPr>
      <w:r>
        <w:rPr>
          <w:rFonts w:hint="default" w:ascii="宋体" w:hAnsi="宋体" w:eastAsia="宋体" w:cs="黑体"/>
          <w:b/>
          <w:bCs/>
          <w:kern w:val="2"/>
          <w:sz w:val="21"/>
          <w:szCs w:val="20"/>
          <w:lang w:val="en-US" w:eastAsia="zh-CN" w:bidi="ar-SA"/>
        </w:rPr>
        <w:t>SDN</w:t>
      </w:r>
      <w:r>
        <w:rPr>
          <w:rFonts w:hint="eastAsia" w:ascii="宋体" w:hAnsi="宋体" w:eastAsia="宋体" w:cs="黑体"/>
          <w:b/>
          <w:bCs/>
          <w:kern w:val="2"/>
          <w:sz w:val="21"/>
          <w:szCs w:val="20"/>
          <w:lang w:val="en-US" w:eastAsia="zh-CN" w:bidi="ar-SA"/>
        </w:rPr>
        <w:t>设备技术需求</w:t>
      </w:r>
      <w:r>
        <w:rPr>
          <w:rFonts w:hint="eastAsia" w:ascii="宋体" w:hAnsi="宋体" w:eastAsia="宋体" w:cs="黑体"/>
          <w:b w:val="0"/>
          <w:bCs w:val="0"/>
          <w:kern w:val="2"/>
          <w:sz w:val="21"/>
          <w:szCs w:val="21"/>
          <w:lang w:val="en-US" w:eastAsia="zh-CN" w:bidi="ar-SA"/>
        </w:rPr>
        <w:t xml:space="preserve">  SDN平台</w:t>
      </w:r>
      <w:r>
        <w:rPr>
          <w:rFonts w:hint="eastAsia"/>
        </w:rPr>
        <w:t>在扁平化的大二层组网环境下，支持端口特定的隔离策略，既能隔离 arp、单播、 dhcp 报文又能放通其他正常的二层报文；交换机支持零配置上线。根据不同区域的业务创建相应业务模板后，绑定设备区域位置信息，设备开箱上电后配置即可自动从软件下发，无需在接入设备端刷入配置；支持通过excel批量导入、基于楼栋交换机端口两种方式绑定设备区域位置管理资产信息，适应不同工程厂商在网络开局阶段的工作流程，提供高效的资产登记和网络规划方案；支持创建交换机的业务模板，支持图形化界面提前规划各端口业务，当室内交换机出现故障，支持替换用的新设备的零配置替换，新设备上电后配置自动下发，无需手动配置；当室内交换机出现故障，替换用的新设备支持智能零替换。支持自适应不同型号间的设备替换，以及替换后新设备支持终端在任意端口接入，并且终端在原有设备接入端口的配置可自动跟随到新设备端口</w:t>
      </w:r>
      <w:r>
        <w:rPr>
          <w:rFonts w:hint="eastAsia"/>
          <w:lang w:eastAsia="zh-CN"/>
        </w:rPr>
        <w:t>；</w:t>
      </w:r>
      <w:r>
        <w:rPr>
          <w:rFonts w:hint="eastAsia"/>
        </w:rPr>
        <w:t>支持光模块与光链路运维检测与故障告警，并可在拓扑中呈现并查看详细信息，包括提供告警原因分析与处理建议；当网络出现环路时能自动产生告警，并在拓扑中显示具体的环路设备告警，能够查询到具体的环路端口</w:t>
      </w:r>
      <w:r>
        <w:rPr>
          <w:rFonts w:hint="eastAsia"/>
          <w:lang w:val="en-US" w:eastAsia="zh-CN"/>
        </w:rPr>
        <w:t>并阻断</w:t>
      </w:r>
      <w:r>
        <w:rPr>
          <w:rFonts w:hint="eastAsia"/>
        </w:rPr>
        <w:t>；支持汇聚交换机、接入交换机和无线的品牌解耦，能满足方案灵活性、保护投资</w:t>
      </w:r>
      <w:r>
        <w:rPr>
          <w:rFonts w:hint="eastAsia"/>
          <w:lang w:eastAsia="zh-CN"/>
        </w:rPr>
        <w:t>；</w:t>
      </w:r>
      <w:r>
        <w:rPr>
          <w:rFonts w:hint="eastAsia"/>
        </w:rPr>
        <w:t>配置包含</w:t>
      </w:r>
      <w:r>
        <w:rPr>
          <w:rFonts w:hint="eastAsia"/>
          <w:lang w:val="en-US" w:eastAsia="zh-CN"/>
        </w:rPr>
        <w:t>≥</w:t>
      </w:r>
      <w:r>
        <w:rPr>
          <w:rFonts w:hint="eastAsia"/>
        </w:rPr>
        <w:t>100点无线授权、</w:t>
      </w:r>
      <w:r>
        <w:rPr>
          <w:rFonts w:hint="eastAsia"/>
          <w:lang w:val="en-US" w:eastAsia="zh-CN"/>
        </w:rPr>
        <w:t>≥</w:t>
      </w:r>
      <w:r>
        <w:rPr>
          <w:rFonts w:hint="eastAsia"/>
        </w:rPr>
        <w:t>500点交换机授权</w:t>
      </w:r>
      <w:r>
        <w:rPr>
          <w:rFonts w:hint="eastAsia"/>
          <w:lang w:eastAsia="zh-CN"/>
        </w:rPr>
        <w:t>，支持锐捷、华为、H3C等</w:t>
      </w:r>
      <w:r>
        <w:rPr>
          <w:rFonts w:hint="eastAsia"/>
          <w:lang w:val="en-US" w:eastAsia="zh-CN"/>
        </w:rPr>
        <w:t>主流网络设备。</w:t>
      </w:r>
      <w:r>
        <w:rPr>
          <w:rFonts w:hint="eastAsia"/>
        </w:rPr>
        <w:t>S</w:t>
      </w:r>
      <w:r>
        <w:t>DN控制器</w:t>
      </w:r>
      <w:r>
        <w:rPr>
          <w:rFonts w:hint="eastAsia"/>
          <w:lang w:val="en-US" w:eastAsia="zh-CN"/>
        </w:rPr>
        <w:t xml:space="preserve"> </w:t>
      </w:r>
      <w:r>
        <w:t>设备2U以上高度，支持冗余电源，支持独立可插拔硬盘，支持模块化双电源备份，支持电源热插拔</w:t>
      </w:r>
      <w:r>
        <w:rPr>
          <w:rFonts w:hint="eastAsia"/>
          <w:lang w:eastAsia="zh-CN"/>
        </w:rPr>
        <w:t>；</w:t>
      </w:r>
      <w:r>
        <w:t>8核及以上处理器，64GB及以上DDR4内存；每个计算节点需提供1个IPMI口，1个VGA口，至少实配2个10/100/1000M 以太网电接口，至少实配2个万兆以太网光接口</w:t>
      </w:r>
      <w:r>
        <w:rPr>
          <w:rFonts w:hint="eastAsia"/>
          <w:lang w:val="en-US" w:eastAsia="zh-CN"/>
        </w:rPr>
        <w:t>并配备配套光模块</w:t>
      </w:r>
      <w:r>
        <w:rPr>
          <w:rFonts w:hint="eastAsia"/>
          <w:lang w:eastAsia="zh-CN"/>
        </w:rPr>
        <w:t>。</w:t>
      </w:r>
    </w:p>
    <w:p>
      <w:pPr>
        <w:pStyle w:val="5"/>
        <w:rPr>
          <w:rFonts w:hint="default" w:hAnsi="黑体" w:eastAsia="黑体"/>
          <w:sz w:val="24"/>
          <w:szCs w:val="24"/>
          <w:highlight w:val="yellow"/>
          <w:lang w:val="en-US" w:eastAsia="zh-CN"/>
        </w:rPr>
      </w:pPr>
    </w:p>
    <w:p>
      <w:pPr>
        <w:pStyle w:val="5"/>
        <w:rPr>
          <w:rFonts w:hint="eastAsia" w:ascii="宋体" w:hAnsi="宋体" w:cs="黑体"/>
          <w:b/>
          <w:bCs/>
          <w:kern w:val="2"/>
          <w:sz w:val="21"/>
          <w:szCs w:val="20"/>
          <w:lang w:val="en-US" w:eastAsia="zh-CN" w:bidi="ar-SA"/>
        </w:rPr>
      </w:pPr>
      <w:r>
        <w:rPr>
          <w:rFonts w:hint="default" w:ascii="宋体" w:hAnsi="宋体" w:eastAsia="宋体" w:cs="黑体"/>
          <w:b/>
          <w:bCs/>
          <w:kern w:val="2"/>
          <w:sz w:val="21"/>
          <w:szCs w:val="20"/>
          <w:lang w:val="en-US" w:eastAsia="zh-CN" w:bidi="ar-SA"/>
        </w:rPr>
        <w:t>防统方系统</w:t>
      </w:r>
      <w:r>
        <w:rPr>
          <w:rFonts w:hint="eastAsia" w:ascii="宋体" w:hAnsi="宋体" w:cs="黑体"/>
          <w:b/>
          <w:bCs/>
          <w:kern w:val="2"/>
          <w:sz w:val="21"/>
          <w:szCs w:val="20"/>
          <w:lang w:val="en-US" w:eastAsia="zh-CN" w:bidi="ar-SA"/>
        </w:rPr>
        <w:t xml:space="preserve">技术需求  </w:t>
      </w:r>
    </w:p>
    <w:p>
      <w:pPr>
        <w:pStyle w:val="5"/>
        <w:rPr>
          <w:rFonts w:hint="eastAsia" w:ascii="宋体" w:hAnsi="宋体" w:cs="黑体"/>
          <w:b/>
          <w:bCs/>
          <w:kern w:val="2"/>
          <w:sz w:val="21"/>
          <w:szCs w:val="20"/>
          <w:lang w:val="en-US" w:eastAsia="zh-CN" w:bidi="ar-SA"/>
        </w:rPr>
      </w:pPr>
    </w:p>
    <w:tbl>
      <w:tblPr>
        <w:tblStyle w:val="8"/>
        <w:tblW w:w="8477"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74"/>
        <w:gridCol w:w="707"/>
        <w:gridCol w:w="72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shd w:val="clear" w:color="auto" w:fill="FFFFFF" w:themeFill="background1"/>
            <w:noWrap w:val="0"/>
            <w:vAlign w:val="center"/>
          </w:tcPr>
          <w:p>
            <w:pPr>
              <w:spacing w:line="240" w:lineRule="auto"/>
              <w:jc w:val="center"/>
              <w:rPr>
                <w:rFonts w:hint="eastAsia" w:ascii="宋体" w:hAnsi="宋体" w:cs="宋体"/>
                <w:b/>
                <w:bCs/>
                <w:sz w:val="21"/>
                <w:szCs w:val="21"/>
              </w:rPr>
            </w:pPr>
            <w:r>
              <w:rPr>
                <w:rFonts w:hint="eastAsia" w:ascii="宋体" w:hAnsi="宋体" w:cs="宋体"/>
                <w:b/>
                <w:sz w:val="21"/>
                <w:szCs w:val="21"/>
              </w:rPr>
              <w:t>序号</w:t>
            </w:r>
          </w:p>
        </w:tc>
        <w:tc>
          <w:tcPr>
            <w:tcW w:w="707" w:type="dxa"/>
            <w:shd w:val="clear" w:color="auto" w:fill="FFFFFF" w:themeFill="background1"/>
            <w:noWrap w:val="0"/>
            <w:vAlign w:val="center"/>
          </w:tcPr>
          <w:p>
            <w:pPr>
              <w:spacing w:line="240" w:lineRule="auto"/>
              <w:jc w:val="center"/>
              <w:rPr>
                <w:rFonts w:hint="eastAsia" w:ascii="宋体" w:hAnsi="宋体" w:cs="宋体"/>
                <w:b/>
                <w:bCs/>
                <w:sz w:val="21"/>
                <w:szCs w:val="21"/>
              </w:rPr>
            </w:pPr>
            <w:r>
              <w:rPr>
                <w:rFonts w:hint="eastAsia" w:ascii="宋体" w:hAnsi="宋体" w:cs="宋体"/>
                <w:b/>
                <w:sz w:val="21"/>
                <w:szCs w:val="21"/>
              </w:rPr>
              <w:t>功能模块</w:t>
            </w:r>
          </w:p>
        </w:tc>
        <w:tc>
          <w:tcPr>
            <w:tcW w:w="7296" w:type="dxa"/>
            <w:shd w:val="clear" w:color="auto" w:fill="FFFFFF" w:themeFill="background1"/>
            <w:noWrap w:val="0"/>
            <w:vAlign w:val="center"/>
          </w:tcPr>
          <w:p>
            <w:pPr>
              <w:spacing w:line="240" w:lineRule="auto"/>
              <w:jc w:val="center"/>
              <w:rPr>
                <w:rFonts w:hint="eastAsia" w:ascii="宋体" w:hAnsi="宋体" w:cs="宋体"/>
                <w:sz w:val="21"/>
                <w:szCs w:val="21"/>
              </w:rPr>
            </w:pPr>
            <w:r>
              <w:rPr>
                <w:rFonts w:hint="eastAsia" w:ascii="宋体" w:hAnsi="宋体" w:cs="宋体"/>
                <w:b/>
                <w:sz w:val="21"/>
                <w:szCs w:val="21"/>
              </w:rPr>
              <w:t>详细技术参数要求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restart"/>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1</w:t>
            </w:r>
          </w:p>
        </w:tc>
        <w:tc>
          <w:tcPr>
            <w:tcW w:w="707" w:type="dxa"/>
            <w:vMerge w:val="restart"/>
            <w:noWrap w:val="0"/>
            <w:vAlign w:val="center"/>
          </w:tcPr>
          <w:p>
            <w:pPr>
              <w:spacing w:line="240" w:lineRule="auto"/>
              <w:rPr>
                <w:rFonts w:hint="eastAsia" w:ascii="宋体" w:hAnsi="宋体" w:cs="宋体"/>
                <w:b/>
                <w:bCs/>
                <w:sz w:val="21"/>
                <w:szCs w:val="21"/>
              </w:rPr>
            </w:pPr>
            <w:r>
              <w:rPr>
                <w:rFonts w:hint="eastAsia" w:ascii="宋体" w:hAnsi="宋体" w:cs="宋体"/>
                <w:b/>
                <w:bCs/>
                <w:sz w:val="21"/>
                <w:szCs w:val="21"/>
              </w:rPr>
              <w:t>系统架构</w:t>
            </w: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管理、审计用户权限分开，相应权限的用户只能查看、管理相应的系统功能，责任明确。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多种部署方式（串接/并接）下都可以阻止客户端进行疑似的统方行为。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支持采用旁路部署方式，不需要更改现有网络结构、服务器相关配置，系统运行不得影响现有网络和业务的正常运行。系统应能独立完成审计数据采集，不依赖于数据库自身审计日志系统，不得在现有服务器上安装可能带来风险的程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系统支持双密码用户，安全性更高。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所有系统数据都支持加密传输，防止信息外泄。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系统确保最小报警监控时间间隔为5秒，保证统方事件的及时告警。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系统的时间可以和关键服务器中的数据库的时间进行同步，确保记录时间的一致性。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支持加密方式的数据库连接信息分析（如MS SQL SERVER2005及更高版本等）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支持对Oracle、MS-SQL 、DB2、MYSQL、CACHE DB、POSTGRESQL和Sybase 等数据库提供自动化评估、审计和保护功能,可审计的数据库或集群数量不少于6个，并且可以是一个oracle库而另外一个是其</w:t>
            </w:r>
            <w:r>
              <w:rPr>
                <w:rFonts w:hint="eastAsia" w:ascii="宋体" w:hAnsi="宋体" w:cs="宋体"/>
                <w:sz w:val="21"/>
                <w:szCs w:val="21"/>
                <w:lang w:eastAsia="zh-CN"/>
              </w:rPr>
              <w:t>他库</w:t>
            </w:r>
            <w:r>
              <w:rPr>
                <w:rFonts w:hint="eastAsia" w:ascii="宋体" w:hAnsi="宋体" w:cs="宋体"/>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具备用户行为记录功能，记录用户所有的操作（业务访问、系统维护、策略配置等）。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系统从业务流程角度入手，结合核心数据特征，提供了高度集成的“事前+事中+事后”数据防护手段。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系统配置文件支持导入、导出。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系统应为软硬一体机，支持千兆以上网络环境及大概至少</w:t>
            </w:r>
            <w:r>
              <w:rPr>
                <w:rFonts w:hint="eastAsia" w:ascii="宋体" w:hAnsi="宋体" w:cs="宋体"/>
                <w:sz w:val="21"/>
                <w:szCs w:val="21"/>
                <w:lang w:val="en-US" w:eastAsia="zh-CN"/>
              </w:rPr>
              <w:t>10</w:t>
            </w:r>
            <w:r>
              <w:rPr>
                <w:rFonts w:hint="eastAsia" w:ascii="宋体" w:hAnsi="宋体" w:cs="宋体"/>
                <w:sz w:val="21"/>
                <w:szCs w:val="21"/>
              </w:rPr>
              <w:t>00个客户端同时并发的监控，应达到每秒50000个以上的事务处理能力.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采用B/S架构，提供中文WEB管理界面以便于管理。并应可以根据不同的安全级别采用不同的实时告警响应方式，包括记录、消息、鸣音、邮件等，并能支持短信平台。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支持包括ASCII、Unicode、UTF-8、UTF-16、GB2312、EBCDIC等编码格式，避免因编码格式不同而导致审计报表出现乱码的情况，保证了审计报表的可读性。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支持集群,系统支持冗余备份。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系统将预留一定的接口以作维护，二次开发之用。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系统内置故障排错系统，判断故障所在，帮助管理人员快速排查问题。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系统应能对自身的事件（包括登录、系统参数修改、系统异常等）进行审计，可以监控和审计用户对数据库中的数据库表 、视图、序列、包、存储过程、函数、库、索引、同义词、快照、触发器等的创建、修改和删除等，分析的内容可以精确到SQL操作语句一级。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审计数据支持外接存储设备进行备份。数据应进行加密保管，只能通过专门工具进行恢复和查询浏览。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restart"/>
            <w:noWrap w:val="0"/>
            <w:vAlign w:val="center"/>
          </w:tcPr>
          <w:p>
            <w:pPr>
              <w:spacing w:line="240" w:lineRule="auto"/>
              <w:jc w:val="center"/>
              <w:rPr>
                <w:rFonts w:hint="eastAsia" w:ascii="宋体" w:hAnsi="宋体" w:cs="宋体"/>
                <w:sz w:val="21"/>
                <w:szCs w:val="21"/>
              </w:rPr>
            </w:pPr>
            <w:r>
              <w:rPr>
                <w:rFonts w:hint="eastAsia" w:ascii="宋体" w:hAnsi="宋体" w:cs="宋体"/>
                <w:sz w:val="21"/>
                <w:szCs w:val="21"/>
              </w:rPr>
              <w:t>2</w:t>
            </w:r>
          </w:p>
        </w:tc>
        <w:tc>
          <w:tcPr>
            <w:tcW w:w="707" w:type="dxa"/>
            <w:vMerge w:val="restart"/>
            <w:noWrap w:val="0"/>
            <w:vAlign w:val="center"/>
          </w:tcPr>
          <w:p>
            <w:pPr>
              <w:spacing w:line="240" w:lineRule="auto"/>
              <w:rPr>
                <w:rFonts w:hint="eastAsia" w:ascii="宋体" w:hAnsi="宋体" w:cs="宋体"/>
                <w:sz w:val="21"/>
                <w:szCs w:val="21"/>
              </w:rPr>
            </w:pPr>
            <w:r>
              <w:rPr>
                <w:rFonts w:hint="eastAsia" w:ascii="宋体" w:hAnsi="宋体" w:cs="宋体"/>
                <w:sz w:val="21"/>
                <w:szCs w:val="21"/>
              </w:rPr>
              <w:t>防统方模块</w:t>
            </w: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能够出具针对纪委、监察室相关人员使用的防统方审计报告（支持每天或多天生成统方审计报告，报告需简单明了，且具有主动将所有的计算机语言翻译成通俗易懂的自然语言的系统机制，支持将整条SQL语句翻译成中文，并提供产品截图并厂家盖章证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系统内置防统方知识库，且具有自我学习功能</w:t>
            </w:r>
            <w:r>
              <w:rPr>
                <w:rFonts w:hint="eastAsia" w:ascii="宋体" w:hAnsi="宋体" w:cs="宋体"/>
                <w:sz w:val="21"/>
                <w:szCs w:val="21"/>
                <w:lang w:eastAsia="zh-CN"/>
              </w:rPr>
              <w:t>，（需提供同一厂家防统方与医德医风模块</w:t>
            </w:r>
            <w:r>
              <w:rPr>
                <w:rFonts w:hint="eastAsia" w:ascii="宋体" w:hAnsi="宋体" w:cs="宋体"/>
                <w:sz w:val="21"/>
                <w:szCs w:val="21"/>
                <w:lang w:val="en-US" w:eastAsia="zh-CN"/>
              </w:rPr>
              <w:t>和廉政风险防控</w:t>
            </w:r>
            <w:r>
              <w:rPr>
                <w:rFonts w:hint="eastAsia" w:ascii="宋体" w:hAnsi="宋体" w:cs="宋体"/>
                <w:sz w:val="21"/>
                <w:szCs w:val="21"/>
                <w:lang w:eastAsia="zh-CN"/>
              </w:rPr>
              <w:t>著作权证明）</w:t>
            </w:r>
            <w:r>
              <w:rPr>
                <w:rFonts w:hint="eastAsia" w:ascii="宋体" w:hAnsi="宋体" w:cs="宋体"/>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应用云计算功能提供数据分析平台，对用户提交的数据进行自主分析，并生成报告和相关建议规则反馈给用户。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根据客户端应用程序名单，实时阻止非法客户端程序或伪装正常客户端程序对关键服务器的访问。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9" w:hRule="atLeast"/>
        </w:trPr>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可疑对象定位功能，可以精确定位可疑对象的物理位置。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可以对某统方行为的所有操作以及操作结果关联起来，以报表的形式呈现给使用部门，便于使用部门分析和追溯统方事件。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2"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阻止可疑会话功能，甄别数据访问，阻止非正常数据会话。能根据预定规则阻止SQL语句的“数据库墙”功能，如根据系统设置的客户端IP/MAC黑名单，以及数据内容中的敏感信息，实时阻止黑名单中的客户端对关键服务器的访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统方白名单权限的设置，可对授权统方行为的操作人员工号、操作类型、IP地址、客户端工具、操作系统用户名、主机名、MAC地址、SQL语句和操作的时间范围等条件进行设置，只有通过了授权和验证才可以获得统方权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restart"/>
            <w:noWrap w:val="0"/>
            <w:vAlign w:val="center"/>
          </w:tcPr>
          <w:p>
            <w:pPr>
              <w:spacing w:line="240" w:lineRule="auto"/>
              <w:jc w:val="center"/>
              <w:rPr>
                <w:rFonts w:hint="eastAsia" w:ascii="宋体" w:hAnsi="宋体" w:cs="宋体"/>
                <w:bCs/>
                <w:sz w:val="21"/>
                <w:szCs w:val="21"/>
              </w:rPr>
            </w:pPr>
            <w:r>
              <w:rPr>
                <w:rFonts w:hint="eastAsia" w:ascii="宋体" w:hAnsi="宋体" w:cs="宋体"/>
                <w:bCs/>
                <w:sz w:val="21"/>
                <w:szCs w:val="21"/>
              </w:rPr>
              <w:t>3</w:t>
            </w:r>
          </w:p>
        </w:tc>
        <w:tc>
          <w:tcPr>
            <w:tcW w:w="707" w:type="dxa"/>
            <w:vMerge w:val="restart"/>
            <w:noWrap w:val="0"/>
            <w:vAlign w:val="center"/>
          </w:tcPr>
          <w:p>
            <w:pPr>
              <w:spacing w:line="240" w:lineRule="auto"/>
              <w:rPr>
                <w:rFonts w:hint="eastAsia" w:ascii="宋体" w:hAnsi="宋体" w:eastAsia="宋体" w:cs="宋体"/>
                <w:b/>
                <w:bCs/>
                <w:sz w:val="21"/>
                <w:szCs w:val="21"/>
                <w:lang w:eastAsia="zh-CN"/>
              </w:rPr>
            </w:pPr>
            <w:r>
              <w:rPr>
                <w:rFonts w:hint="eastAsia" w:ascii="宋体" w:hAnsi="宋体" w:cs="宋体"/>
                <w:sz w:val="21"/>
                <w:szCs w:val="21"/>
              </w:rPr>
              <w:t>数据库审计</w:t>
            </w:r>
            <w:r>
              <w:rPr>
                <w:rFonts w:hint="eastAsia" w:ascii="宋体" w:hAnsi="宋体" w:cs="宋体"/>
                <w:sz w:val="21"/>
                <w:szCs w:val="21"/>
                <w:lang w:eastAsia="zh-CN"/>
              </w:rPr>
              <w:t>模块</w:t>
            </w: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主动/被动方式监控关键服务器的开放端口，提供扫描现有应用系统的漏洞。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7" w:hRule="atLeast"/>
        </w:trPr>
        <w:tc>
          <w:tcPr>
            <w:tcW w:w="474" w:type="dxa"/>
            <w:vMerge w:val="continue"/>
            <w:noWrap w:val="0"/>
            <w:vAlign w:val="center"/>
          </w:tcPr>
          <w:p>
            <w:pPr>
              <w:spacing w:line="240" w:lineRule="auto"/>
              <w:jc w:val="center"/>
              <w:rPr>
                <w:rFonts w:hint="eastAsia" w:ascii="宋体" w:hAnsi="宋体" w:cs="宋体"/>
                <w:b/>
                <w:bCs/>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分析可疑对象的信息，包括IP、端口、MAC、主机名、程序信息、数据库连接信息。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b/>
                <w:bCs/>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系统可以监控、记录并且还原客户端连接到服务器的TELNET/FTP等远程登录操作信息，记录内容包括客户端IP地址，客户端MAC地址，服务器地址以及产生记录的时间，并提供多种查询，支持多种文件格式导出。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b/>
                <w:bCs/>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支持医院各生产系统中财务数据、病人资料、药品信息、医院资产等核心数据的审计监控。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b/>
                <w:bCs/>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用户可以根据需要自定义规则，并能根据设定的条件产生审计报告。能对审计结果进行多条件组合查询，比如按下列条件查询：IP地址、MAC地址、表名、操作方式、计算机名、数据库名、程序名等。并就能支持按关键词进行模糊查询。查询结果应支持多种格式(excel、pdf、txt等)导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vMerge w:val="continue"/>
            <w:noWrap w:val="0"/>
            <w:vAlign w:val="center"/>
          </w:tcPr>
          <w:p>
            <w:pPr>
              <w:spacing w:line="240" w:lineRule="auto"/>
              <w:jc w:val="center"/>
              <w:rPr>
                <w:rFonts w:hint="eastAsia" w:ascii="宋体" w:hAnsi="宋体" w:cs="宋体"/>
                <w:b/>
                <w:bCs/>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kern w:val="0"/>
                <w:sz w:val="21"/>
                <w:szCs w:val="21"/>
              </w:rPr>
              <w:t>支持指定非关注策略，系统将非关注的内容进行过滤，不进行记录，降低了存储空间和无用信息的堆砌。策略因子包括：数据库操作来源IP地址、数据库登录用户名称、数据库操作源程序名称、数据库操作源终端名称、数据库操作源终端用户名称、SQL操作语句（DDL、DML、DCL）、数据库表组（表、列）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jc w:val="center"/>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b/>
                <w:bCs/>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医院信息管理系统多层结构，提供全方位的三层（应用层、中间层、数据库层）的访问审计，三层关联必需支持自动关联，以提升关联准确度和审计人员追踪索源难度，同时需要支持手动关联，可以直接追踪到前端业务的操作人员IP地址、MAC地址和用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kern w:val="0"/>
                <w:sz w:val="21"/>
                <w:szCs w:val="21"/>
              </w:rPr>
              <w:t>提供数据库登录用户名称异常探测、数据库操作源终端异常探测、数据库操作源程序名称异常探测、数据库操作源终端用户名称异常探测，可设定异常黑白名单，对客户端地址、客户端程序、数据库账号、客户端用户名以及执行结果等异常的行为进行异常告警，支持自主学习能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应能支持多个网段客户端对数据库操作行为的会话审计，能够对各种访问数据的途径（如客户端软件、PL/SQL、SQL*Plus、PB、Toad等各种SQL操作工具）进行监控和设计，可以跟踪审计某某时间、某某IP、某某计算机名、某某用户对数据库服务器进行了该类操作，具有可疑对象定位功能，可以精确定位可疑对象的物理位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能够检测网络拷贝等操作,能够检测通过网络KVM发出的指令。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产品从审计主体、审计客体、日志格式、规则分析能力、报表、告警、存储等模块完全按照等级保护基本要求和测评要求设计研制。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系统应能支持对数据库SQL操作语句的详细审计，可以分析出每条语句的操作方式、表名、存储过程名、详细操作内容，执行时长、操作成功/失败，受影响行数，关联表与关联表数等字段信息，可审计并还原SQL操作语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可根据SQL执行的时间长短设定规则，如命令执行时长超过30秒进行告警；可根据返回记录数多少设定规则，如SQL操作返回的记录数或受影响的行数大于等于10000行时进行告警。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支持超长操作语句审计，针对传统型数据库，支持  3万字节的</w:t>
            </w:r>
          </w:p>
          <w:p>
            <w:pPr>
              <w:spacing w:line="240" w:lineRule="auto"/>
              <w:rPr>
                <w:rFonts w:hint="eastAsia" w:ascii="宋体" w:hAnsi="宋体" w:cs="宋体"/>
                <w:sz w:val="21"/>
                <w:szCs w:val="21"/>
              </w:rPr>
            </w:pPr>
            <w:r>
              <w:rPr>
                <w:rFonts w:hint="eastAsia" w:ascii="宋体" w:hAnsi="宋体" w:cs="宋体"/>
                <w:sz w:val="21"/>
                <w:szCs w:val="21"/>
              </w:rPr>
              <w:t>审计而不截断，针对 Cache数据库，支持60万字节长度不截断.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支持Cache数据库集成工具   terminal、portal、studio、</w:t>
            </w:r>
          </w:p>
          <w:p>
            <w:pPr>
              <w:spacing w:line="240" w:lineRule="auto"/>
              <w:rPr>
                <w:rFonts w:hint="eastAsia" w:ascii="宋体" w:hAnsi="宋体" w:cs="宋体"/>
                <w:sz w:val="21"/>
                <w:szCs w:val="21"/>
              </w:rPr>
            </w:pPr>
            <w:r>
              <w:rPr>
                <w:rFonts w:hint="eastAsia" w:ascii="宋体" w:hAnsi="宋体" w:cs="宋体"/>
                <w:sz w:val="21"/>
                <w:szCs w:val="21"/>
              </w:rPr>
              <w:t>Sqlmanager、MedTrak等工具的审计，支持返回结果审计。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1" w:hRule="atLeast"/>
        </w:trPr>
        <w:tc>
          <w:tcPr>
            <w:tcW w:w="474" w:type="dxa"/>
            <w:vMerge w:val="continue"/>
            <w:noWrap w:val="0"/>
            <w:vAlign w:val="center"/>
          </w:tcPr>
          <w:p>
            <w:pPr>
              <w:spacing w:line="240" w:lineRule="auto"/>
              <w:rPr>
                <w:rFonts w:hint="eastAsia" w:ascii="宋体" w:hAnsi="宋体" w:cs="宋体"/>
                <w:sz w:val="21"/>
                <w:szCs w:val="21"/>
              </w:rPr>
            </w:pPr>
          </w:p>
        </w:tc>
        <w:tc>
          <w:tcPr>
            <w:tcW w:w="707" w:type="dxa"/>
            <w:vMerge w:val="continue"/>
            <w:noWrap w:val="0"/>
            <w:vAlign w:val="center"/>
          </w:tcPr>
          <w:p>
            <w:pPr>
              <w:spacing w:line="240" w:lineRule="auto"/>
              <w:rPr>
                <w:rFonts w:hint="eastAsia" w:ascii="宋体" w:hAnsi="宋体" w:cs="宋体"/>
                <w:sz w:val="21"/>
                <w:szCs w:val="21"/>
              </w:rPr>
            </w:pP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支持对双向数据包的解析、识别及还原，不仅对数据库操作请求进行实时监控，而且还可对数据库系统返回结果进行完整的还原，根据统方行为的特征实时告警。</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89" w:hRule="atLeast"/>
        </w:trPr>
        <w:tc>
          <w:tcPr>
            <w:tcW w:w="474" w:type="dxa"/>
            <w:noWrap w:val="0"/>
            <w:vAlign w:val="center"/>
          </w:tcPr>
          <w:p>
            <w:pPr>
              <w:spacing w:line="240" w:lineRule="auto"/>
              <w:jc w:val="center"/>
              <w:rPr>
                <w:rFonts w:hint="eastAsia" w:ascii="宋体" w:hAnsi="宋体" w:cs="宋体"/>
                <w:bCs/>
                <w:sz w:val="21"/>
                <w:szCs w:val="21"/>
              </w:rPr>
            </w:pPr>
            <w:r>
              <w:rPr>
                <w:rFonts w:hint="eastAsia" w:ascii="宋体" w:hAnsi="宋体" w:cs="宋体"/>
                <w:bCs/>
                <w:sz w:val="21"/>
                <w:szCs w:val="21"/>
              </w:rPr>
              <w:t>4</w:t>
            </w:r>
          </w:p>
        </w:tc>
        <w:tc>
          <w:tcPr>
            <w:tcW w:w="707" w:type="dxa"/>
            <w:noWrap w:val="0"/>
            <w:vAlign w:val="center"/>
          </w:tcPr>
          <w:p>
            <w:pPr>
              <w:spacing w:line="240" w:lineRule="auto"/>
              <w:rPr>
                <w:rFonts w:hint="eastAsia" w:ascii="宋体" w:hAnsi="宋体" w:cs="宋体"/>
                <w:b/>
                <w:bCs/>
                <w:sz w:val="21"/>
                <w:szCs w:val="21"/>
              </w:rPr>
            </w:pPr>
            <w:r>
              <w:rPr>
                <w:rFonts w:hint="eastAsia" w:ascii="宋体" w:hAnsi="宋体" w:cs="宋体"/>
                <w:b/>
                <w:bCs/>
                <w:sz w:val="21"/>
                <w:szCs w:val="21"/>
              </w:rPr>
              <w:t>抗菌药物分析模块</w:t>
            </w: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rPr>
              <w:t>支持抗生素三色告警，能对指定时间内全院抗菌药物品种、剂型、规格、使用量、使用金额，使用量和使用金额分别排名前N位的抗菌药物品种进行分析，自动生成报表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noWrap w:val="0"/>
            <w:vAlign w:val="center"/>
          </w:tcPr>
          <w:p>
            <w:pPr>
              <w:spacing w:line="240" w:lineRule="auto"/>
              <w:jc w:val="center"/>
              <w:rPr>
                <w:rFonts w:hint="eastAsia" w:ascii="宋体" w:hAnsi="宋体" w:eastAsia="宋体" w:cs="宋体"/>
                <w:sz w:val="21"/>
                <w:szCs w:val="21"/>
                <w:lang w:eastAsia="zh-CN"/>
              </w:rPr>
            </w:pPr>
            <w:r>
              <w:rPr>
                <w:rFonts w:hint="eastAsia" w:ascii="宋体" w:hAnsi="宋体" w:cs="宋体"/>
                <w:sz w:val="21"/>
                <w:szCs w:val="21"/>
                <w:lang w:val="en-US" w:eastAsia="zh-CN"/>
              </w:rPr>
              <w:t>5</w:t>
            </w:r>
          </w:p>
        </w:tc>
        <w:tc>
          <w:tcPr>
            <w:tcW w:w="707" w:type="dxa"/>
            <w:noWrap w:val="0"/>
            <w:vAlign w:val="center"/>
          </w:tcPr>
          <w:p>
            <w:pPr>
              <w:spacing w:line="240" w:lineRule="auto"/>
              <w:rPr>
                <w:rFonts w:hint="eastAsia" w:ascii="宋体" w:hAnsi="宋体" w:cs="宋体"/>
                <w:b/>
                <w:bCs/>
                <w:sz w:val="21"/>
                <w:szCs w:val="21"/>
              </w:rPr>
            </w:pPr>
            <w:r>
              <w:rPr>
                <w:rFonts w:hint="eastAsia" w:ascii="宋体" w:hAnsi="宋体" w:cs="宋体"/>
                <w:b/>
                <w:bCs/>
                <w:kern w:val="0"/>
                <w:sz w:val="21"/>
                <w:szCs w:val="21"/>
              </w:rPr>
              <w:t>告警模块</w:t>
            </w:r>
          </w:p>
        </w:tc>
        <w:tc>
          <w:tcPr>
            <w:tcW w:w="7296" w:type="dxa"/>
            <w:noWrap w:val="0"/>
            <w:vAlign w:val="center"/>
          </w:tcPr>
          <w:p>
            <w:pPr>
              <w:spacing w:line="240" w:lineRule="auto"/>
              <w:rPr>
                <w:rFonts w:hint="eastAsia" w:ascii="宋体" w:hAnsi="宋体" w:cs="宋体"/>
                <w:sz w:val="21"/>
                <w:szCs w:val="21"/>
              </w:rPr>
            </w:pPr>
            <w:r>
              <w:rPr>
                <w:rFonts w:hint="eastAsia" w:ascii="宋体" w:hAnsi="宋体" w:cs="宋体"/>
                <w:sz w:val="21"/>
                <w:szCs w:val="21"/>
                <w:lang w:eastAsia="zh-CN"/>
              </w:rPr>
              <w:t>可根据用户自定义规则实时发出手机短信通知和邮件提醒等多种方式的告警信息，厂家需提供短信平台供客户使用并免短信费用。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474" w:type="dxa"/>
            <w:noWrap w:val="0"/>
            <w:vAlign w:val="center"/>
          </w:tcPr>
          <w:p>
            <w:pPr>
              <w:spacing w:line="240" w:lineRule="auto"/>
              <w:jc w:val="center"/>
              <w:rPr>
                <w:rFonts w:hint="default" w:ascii="宋体" w:hAnsi="宋体" w:cs="宋体"/>
                <w:sz w:val="21"/>
                <w:szCs w:val="21"/>
                <w:lang w:val="en-US" w:eastAsia="zh-CN"/>
              </w:rPr>
            </w:pPr>
            <w:r>
              <w:rPr>
                <w:rFonts w:hint="eastAsia" w:ascii="宋体" w:hAnsi="宋体" w:cs="宋体"/>
                <w:sz w:val="21"/>
                <w:szCs w:val="21"/>
                <w:lang w:val="en-US" w:eastAsia="zh-CN"/>
              </w:rPr>
              <w:t>6</w:t>
            </w:r>
          </w:p>
        </w:tc>
        <w:tc>
          <w:tcPr>
            <w:tcW w:w="707" w:type="dxa"/>
            <w:noWrap w:val="0"/>
            <w:vAlign w:val="center"/>
          </w:tcPr>
          <w:p>
            <w:pPr>
              <w:spacing w:line="240" w:lineRule="auto"/>
              <w:jc w:val="center"/>
              <w:rPr>
                <w:rFonts w:hint="eastAsia" w:ascii="宋体" w:hAnsi="宋体" w:cs="宋体"/>
                <w:sz w:val="21"/>
                <w:szCs w:val="21"/>
                <w:lang w:val="en-US" w:eastAsia="zh-CN"/>
              </w:rPr>
            </w:pPr>
            <w:r>
              <w:rPr>
                <w:rFonts w:hint="eastAsia" w:ascii="宋体" w:hAnsi="宋体" w:cs="宋体"/>
                <w:b/>
                <w:bCs/>
                <w:kern w:val="0"/>
                <w:sz w:val="21"/>
                <w:szCs w:val="21"/>
                <w:lang w:val="en-US" w:eastAsia="zh-CN"/>
              </w:rPr>
              <w:t>硬件平台</w:t>
            </w:r>
          </w:p>
        </w:tc>
        <w:tc>
          <w:tcPr>
            <w:tcW w:w="7296" w:type="dxa"/>
            <w:noWrap w:val="0"/>
            <w:vAlign w:val="center"/>
          </w:tcPr>
          <w:p>
            <w:pPr>
              <w:spacing w:line="240" w:lineRule="auto"/>
              <w:jc w:val="left"/>
              <w:rPr>
                <w:rFonts w:hint="eastAsia" w:ascii="宋体" w:hAnsi="宋体" w:cs="宋体"/>
                <w:sz w:val="21"/>
                <w:szCs w:val="21"/>
                <w:lang w:val="en-US" w:eastAsia="zh-CN"/>
              </w:rPr>
            </w:pPr>
            <w:r>
              <w:rPr>
                <w:rFonts w:hint="eastAsia" w:ascii="宋体" w:hAnsi="宋体" w:cs="宋体"/>
                <w:sz w:val="21"/>
                <w:szCs w:val="21"/>
                <w:lang w:val="en-US" w:eastAsia="zh-CN"/>
              </w:rPr>
              <w:t xml:space="preserve">吞吐量：≥5000Mbps、SQL事务数/秒≥120,000、外形尺寸：2U；10/100/1000M自适应电口 *6、SFP多模光纤≥2个；存储容量：2*4TB HDD(可做Raid0、1) </w:t>
            </w:r>
          </w:p>
          <w:p>
            <w:pPr>
              <w:spacing w:line="240" w:lineRule="auto"/>
              <w:jc w:val="left"/>
              <w:rPr>
                <w:rFonts w:hint="eastAsia" w:ascii="宋体" w:hAnsi="宋体" w:cs="宋体"/>
                <w:sz w:val="21"/>
                <w:szCs w:val="21"/>
                <w:lang w:val="en-US" w:eastAsia="zh-CN"/>
              </w:rPr>
            </w:pPr>
            <w:r>
              <w:rPr>
                <w:rFonts w:hint="eastAsia" w:ascii="宋体" w:hAnsi="宋体" w:cs="宋体"/>
                <w:sz w:val="21"/>
                <w:szCs w:val="21"/>
                <w:lang w:val="en-US" w:eastAsia="zh-CN"/>
              </w:rPr>
              <w:t>CPU≥Intel I3、内存≥32G。</w:t>
            </w:r>
          </w:p>
        </w:tc>
      </w:tr>
    </w:tbl>
    <w:p>
      <w:pPr>
        <w:pStyle w:val="5"/>
        <w:rPr>
          <w:rFonts w:hint="default" w:ascii="宋体" w:hAnsi="宋体" w:cs="黑体"/>
          <w:b/>
          <w:bCs/>
          <w:kern w:val="2"/>
          <w:sz w:val="21"/>
          <w:szCs w:val="20"/>
          <w:lang w:val="en-US" w:eastAsia="zh-CN" w:bidi="ar-SA"/>
        </w:rPr>
      </w:pPr>
    </w:p>
    <w:p>
      <w:pPr>
        <w:spacing w:line="240" w:lineRule="auto"/>
        <w:ind w:firstLine="422" w:firstLineChars="200"/>
        <w:rPr>
          <w:rFonts w:hint="eastAsia" w:ascii="宋体" w:hAnsi="宋体" w:eastAsia="宋体"/>
          <w:sz w:val="21"/>
          <w:szCs w:val="21"/>
        </w:rPr>
      </w:pPr>
      <w:r>
        <w:rPr>
          <w:rFonts w:hint="default" w:ascii="宋体" w:hAnsi="宋体" w:eastAsia="宋体" w:cs="黑体"/>
          <w:b/>
          <w:bCs/>
          <w:kern w:val="2"/>
          <w:sz w:val="21"/>
          <w:szCs w:val="21"/>
          <w:lang w:val="en-US" w:eastAsia="zh-CN" w:bidi="ar-SA"/>
        </w:rPr>
        <w:t>网络流量回溯分析系统</w:t>
      </w:r>
      <w:r>
        <w:rPr>
          <w:rFonts w:hint="eastAsia" w:ascii="宋体" w:hAnsi="宋体" w:cs="黑体"/>
          <w:b/>
          <w:bCs/>
          <w:kern w:val="2"/>
          <w:sz w:val="21"/>
          <w:szCs w:val="21"/>
          <w:lang w:val="en-US" w:eastAsia="zh-CN" w:bidi="ar-SA"/>
        </w:rPr>
        <w:t>技术需求</w:t>
      </w:r>
      <w:r>
        <w:rPr>
          <w:rFonts w:hint="eastAsia" w:ascii="宋体" w:hAnsi="宋体" w:eastAsia="宋体" w:cs="黑体"/>
          <w:b/>
          <w:bCs/>
          <w:kern w:val="2"/>
          <w:sz w:val="21"/>
          <w:szCs w:val="21"/>
          <w:lang w:val="en-US" w:eastAsia="zh-CN" w:bidi="ar-SA"/>
        </w:rPr>
        <w:t xml:space="preserve">  </w:t>
      </w:r>
      <w:r>
        <w:rPr>
          <w:rFonts w:hint="eastAsia" w:ascii="宋体" w:hAnsi="宋体" w:eastAsia="宋体"/>
          <w:sz w:val="21"/>
          <w:szCs w:val="21"/>
        </w:rPr>
        <w:t>对网络中所有交互的通信数据进行全程监控，并对数据进行实时分析。可实时捕获并保存网络通讯流量，具备对长期网络通讯数据进行快速数据挖掘和回溯分析能力。实现对关键业务系统中的网络异常、应用性能异常和网络行为异常的秒级发现，以及区分异常原因的智能回溯分析，提升对关键业务系统的运行保障能力和问题处置效率。支持概要统计、IP/物理地址、虚拟网统计、网络应用、会话分析、端口统计、警报日志等功能模块，内置专家分析系统</w:t>
      </w:r>
      <w:r>
        <w:rPr>
          <w:rFonts w:hint="eastAsia" w:ascii="宋体" w:hAnsi="宋体" w:eastAsia="宋体"/>
          <w:sz w:val="21"/>
          <w:szCs w:val="21"/>
          <w:lang w:eastAsia="zh-CN"/>
        </w:rPr>
        <w:t>。</w:t>
      </w:r>
      <w:r>
        <w:rPr>
          <w:rFonts w:hint="eastAsia" w:ascii="宋体" w:hAnsi="宋体" w:eastAsia="宋体"/>
          <w:sz w:val="21"/>
          <w:szCs w:val="21"/>
        </w:rPr>
        <w:t>硬件配置：标准机架式独立硬件设备，存储容量</w:t>
      </w:r>
      <w:r>
        <w:rPr>
          <w:rFonts w:hint="eastAsia" w:ascii="宋体" w:hAnsi="宋体" w:eastAsia="宋体"/>
          <w:sz w:val="21"/>
          <w:szCs w:val="21"/>
          <w:lang w:val="en-US" w:eastAsia="zh-CN"/>
        </w:rPr>
        <w:t>≥32</w:t>
      </w:r>
      <w:r>
        <w:rPr>
          <w:rFonts w:hint="eastAsia" w:ascii="宋体" w:hAnsi="宋体" w:eastAsia="宋体"/>
          <w:sz w:val="21"/>
          <w:szCs w:val="21"/>
        </w:rPr>
        <w:t>TB，提供采集口</w:t>
      </w:r>
      <w:r>
        <w:rPr>
          <w:rFonts w:hint="eastAsia" w:ascii="宋体" w:hAnsi="宋体" w:eastAsia="宋体"/>
          <w:sz w:val="21"/>
          <w:szCs w:val="21"/>
          <w:lang w:val="en-US" w:eastAsia="zh-CN"/>
        </w:rPr>
        <w:t>≥2</w:t>
      </w:r>
      <w:r>
        <w:rPr>
          <w:rFonts w:hint="eastAsia" w:ascii="宋体" w:hAnsi="宋体" w:eastAsia="宋体"/>
          <w:sz w:val="21"/>
          <w:szCs w:val="21"/>
        </w:rPr>
        <w:t>个千兆电口、</w:t>
      </w:r>
      <w:r>
        <w:rPr>
          <w:rFonts w:hint="eastAsia" w:ascii="宋体" w:hAnsi="宋体" w:eastAsia="宋体"/>
          <w:sz w:val="21"/>
          <w:szCs w:val="21"/>
          <w:lang w:val="en-US" w:eastAsia="zh-CN"/>
        </w:rPr>
        <w:t>≥4</w:t>
      </w:r>
      <w:r>
        <w:rPr>
          <w:rFonts w:hint="eastAsia" w:ascii="宋体" w:hAnsi="宋体" w:eastAsia="宋体"/>
          <w:sz w:val="21"/>
          <w:szCs w:val="21"/>
        </w:rPr>
        <w:t>个千兆光口，管理口：</w:t>
      </w:r>
      <w:r>
        <w:rPr>
          <w:rFonts w:hint="eastAsia" w:ascii="宋体" w:hAnsi="宋体" w:eastAsia="宋体"/>
          <w:sz w:val="21"/>
          <w:szCs w:val="21"/>
          <w:lang w:val="en-US" w:eastAsia="zh-CN"/>
        </w:rPr>
        <w:t>≥</w:t>
      </w:r>
      <w:r>
        <w:rPr>
          <w:rFonts w:hint="eastAsia" w:ascii="宋体" w:hAnsi="宋体" w:eastAsia="宋体"/>
          <w:sz w:val="21"/>
          <w:szCs w:val="21"/>
        </w:rPr>
        <w:t>2个千兆电口，设备流量处理能力</w:t>
      </w:r>
      <w:r>
        <w:rPr>
          <w:rFonts w:hint="eastAsia" w:ascii="宋体" w:hAnsi="宋体" w:eastAsia="宋体"/>
          <w:sz w:val="21"/>
          <w:szCs w:val="21"/>
          <w:lang w:val="en-US" w:eastAsia="zh-CN"/>
        </w:rPr>
        <w:t>≥4.5</w:t>
      </w:r>
      <w:r>
        <w:rPr>
          <w:rFonts w:hint="eastAsia" w:ascii="宋体" w:hAnsi="宋体" w:eastAsia="宋体"/>
          <w:sz w:val="21"/>
          <w:szCs w:val="21"/>
        </w:rPr>
        <w:t>Gbps，数据包处理能力</w:t>
      </w:r>
      <w:r>
        <w:rPr>
          <w:rFonts w:hint="eastAsia" w:ascii="宋体" w:hAnsi="宋体" w:eastAsia="宋体"/>
          <w:sz w:val="21"/>
          <w:szCs w:val="21"/>
          <w:lang w:val="en-US" w:eastAsia="zh-CN"/>
        </w:rPr>
        <w:t>≥100</w:t>
      </w:r>
      <w:r>
        <w:rPr>
          <w:rFonts w:hint="eastAsia" w:ascii="宋体" w:hAnsi="宋体" w:eastAsia="宋体"/>
          <w:sz w:val="21"/>
          <w:szCs w:val="21"/>
        </w:rPr>
        <w:t>万/秒，会话处理能力</w:t>
      </w:r>
      <w:r>
        <w:rPr>
          <w:rFonts w:hint="eastAsia" w:ascii="宋体" w:hAnsi="宋体" w:eastAsia="宋体"/>
          <w:sz w:val="21"/>
          <w:szCs w:val="21"/>
          <w:lang w:val="en-US" w:eastAsia="zh-CN"/>
        </w:rPr>
        <w:t>≥20</w:t>
      </w:r>
      <w:r>
        <w:rPr>
          <w:rFonts w:hint="eastAsia" w:ascii="宋体" w:hAnsi="宋体" w:eastAsia="宋体"/>
          <w:sz w:val="21"/>
          <w:szCs w:val="21"/>
        </w:rPr>
        <w:t>万/秒。系统支持全中文配置、管理、分析界面；旁路接入网络中，通过交换机端口镜像功能或者分流器做流量采集；支持分布式部署和独立部署，数据采集支持毫秒级精度。支持根据VLAN ID、ISL Vlan、MPLS标签、VxLAN ID、IP网段设置虚链络，能够基于虚链路实现性能统计、分析、存储。支持集群化部署，将大二层的流量通过Tap交换机镜像出来，负载均衡输入多台探针，由探针集群的主设备进行跨设备的流量聚合，聚合后的功能和普通探针一致。数据捕获与保存：支持对镜像流量和Flow两种数据源的采集及分析，可针对镜像流量做L2至L7层协议分析，也可通过F1ow对网络设备物理接口流量分析。支持数据包去重功能，在原始流量存在重复包的情况下能够开启去重功能，确保分析结果的准确性，系统支持根据IP地址去重和高级五元组去重。支持捕获数据包时能够根据条件过滤捕获。支持原始数据包完整保存以及数据包截断存储。数据包截断存储，可以设定捕获并保存数据包的长度大小，如只保存数据包的前x个字节，支持按照不同自定义应用、协议、Vlan、Vxlan、MPLS和ISL Vlan等方式分别设置数据包截断长度。支持数据包回放功能。数据的回溯与分析</w:t>
      </w:r>
      <w:r>
        <w:rPr>
          <w:rFonts w:hint="eastAsia" w:ascii="宋体" w:hAnsi="宋体" w:eastAsia="宋体"/>
          <w:sz w:val="21"/>
          <w:szCs w:val="21"/>
          <w:lang w:val="en-US" w:eastAsia="zh-CN"/>
        </w:rPr>
        <w:t xml:space="preserve"> </w:t>
      </w:r>
      <w:r>
        <w:rPr>
          <w:rFonts w:hint="eastAsia" w:ascii="宋体" w:hAnsi="宋体" w:eastAsia="宋体"/>
          <w:sz w:val="21"/>
          <w:szCs w:val="21"/>
        </w:rPr>
        <w:t>支持对单个主机的流量进行回溯分析。支持提供单个主机的流量趋势图</w:t>
      </w:r>
      <w:r>
        <w:rPr>
          <w:rFonts w:hint="eastAsia" w:ascii="宋体" w:hAnsi="宋体" w:eastAsia="宋体"/>
          <w:sz w:val="21"/>
          <w:szCs w:val="21"/>
          <w:lang w:eastAsia="zh-CN"/>
        </w:rPr>
        <w:t>。</w:t>
      </w:r>
      <w:r>
        <w:rPr>
          <w:rFonts w:hint="eastAsia" w:ascii="宋体" w:hAnsi="宋体" w:eastAsia="宋体"/>
          <w:sz w:val="21"/>
          <w:szCs w:val="21"/>
        </w:rPr>
        <w:t>所有统计指标支持</w:t>
      </w:r>
      <w:r>
        <w:rPr>
          <w:rFonts w:hint="eastAsia" w:ascii="宋体" w:hAnsi="宋体" w:eastAsia="宋体"/>
          <w:sz w:val="21"/>
          <w:szCs w:val="21"/>
          <w:lang w:val="en-US" w:eastAsia="zh-CN"/>
        </w:rPr>
        <w:t>实时秒级</w:t>
      </w:r>
      <w:r>
        <w:rPr>
          <w:rFonts w:hint="eastAsia" w:ascii="宋体" w:hAnsi="宋体" w:eastAsia="宋体"/>
          <w:sz w:val="21"/>
          <w:szCs w:val="21"/>
        </w:rPr>
        <w:t>时间精度。能够针对单个主机区分识别内、外网主机信息，内网主机能够识别主机归属部门，互联网主机能够识别运营商归属信息。支持对IP会话的流量进行回溯分析。能够提供单个IP会话的流量趋势图。支持对TCP会话的流量进行回溯分析。应用监控与分析</w:t>
      </w:r>
      <w:r>
        <w:rPr>
          <w:rFonts w:hint="eastAsia" w:ascii="宋体" w:hAnsi="宋体" w:eastAsia="宋体"/>
          <w:sz w:val="21"/>
          <w:szCs w:val="21"/>
          <w:lang w:val="en-US" w:eastAsia="zh-CN"/>
        </w:rPr>
        <w:t xml:space="preserve"> </w:t>
      </w:r>
      <w:r>
        <w:rPr>
          <w:rFonts w:hint="eastAsia" w:ascii="宋体" w:hAnsi="宋体" w:eastAsia="宋体"/>
          <w:sz w:val="21"/>
          <w:szCs w:val="21"/>
        </w:rPr>
        <w:t>能够实时监控指定应用的通讯流量信息，包括每秒流量、每秒数据包数、TCP同步包数、流量变化趋势图、TOP 主机、警报日志等。能够对任意时段指定应用的服务质量关键指标进行分析。交易分析</w:t>
      </w:r>
      <w:r>
        <w:rPr>
          <w:rFonts w:hint="eastAsia" w:ascii="宋体" w:hAnsi="宋体" w:eastAsia="宋体"/>
          <w:sz w:val="21"/>
          <w:szCs w:val="21"/>
          <w:lang w:val="en-US" w:eastAsia="zh-CN"/>
        </w:rPr>
        <w:t xml:space="preserve"> </w:t>
      </w:r>
      <w:r>
        <w:rPr>
          <w:rFonts w:hint="eastAsia" w:ascii="宋体" w:hAnsi="宋体" w:eastAsia="宋体"/>
          <w:sz w:val="21"/>
          <w:szCs w:val="21"/>
        </w:rPr>
        <w:t>能够支持针对采用TCP协议的应用交易定义和分析功能，能够根据应用层数据的协议特征定义各交易字段，对交易进行识别和分析，可以直观的看到指定应用的交易处理数量、</w:t>
      </w:r>
      <w:r>
        <w:rPr>
          <w:rFonts w:hint="eastAsia" w:ascii="宋体" w:hAnsi="宋体" w:eastAsia="宋体"/>
          <w:sz w:val="21"/>
          <w:szCs w:val="21"/>
          <w:lang w:eastAsia="zh-CN"/>
        </w:rPr>
        <w:t>平均</w:t>
      </w:r>
      <w:r>
        <w:rPr>
          <w:rFonts w:hint="eastAsia" w:ascii="宋体" w:hAnsi="宋体" w:eastAsia="宋体"/>
          <w:sz w:val="21"/>
          <w:szCs w:val="21"/>
        </w:rPr>
        <w:t>交易处理时间和交易</w:t>
      </w:r>
      <w:r>
        <w:rPr>
          <w:rFonts w:hint="eastAsia" w:ascii="宋体" w:hAnsi="宋体" w:eastAsia="宋体"/>
          <w:sz w:val="21"/>
          <w:szCs w:val="21"/>
          <w:lang w:eastAsia="zh-CN"/>
        </w:rPr>
        <w:t>状态等</w:t>
      </w:r>
      <w:r>
        <w:rPr>
          <w:rFonts w:hint="eastAsia" w:ascii="宋体" w:hAnsi="宋体" w:eastAsia="宋体"/>
          <w:sz w:val="21"/>
          <w:szCs w:val="21"/>
        </w:rPr>
        <w:t>趋势图，以及各种流量参数、会话参数和交易统计参数等信息。支持基于同步TCP和异步TCP传输模式的应用交易定义和分析。支持HTTP协议的交易自动识别功能，支持对交易内容进行分析，</w:t>
      </w:r>
      <w:r>
        <w:rPr>
          <w:rFonts w:hint="eastAsia" w:ascii="宋体" w:hAnsi="宋体" w:eastAsia="宋体"/>
          <w:sz w:val="21"/>
          <w:szCs w:val="21"/>
          <w:lang w:eastAsia="zh-CN"/>
        </w:rPr>
        <w:t>指标参数</w:t>
      </w:r>
      <w:r>
        <w:rPr>
          <w:rFonts w:hint="eastAsia" w:ascii="宋体" w:hAnsi="宋体" w:eastAsia="宋体"/>
          <w:sz w:val="21"/>
          <w:szCs w:val="21"/>
        </w:rPr>
        <w:t>支持秒</w:t>
      </w:r>
      <w:r>
        <w:rPr>
          <w:rFonts w:hint="eastAsia" w:ascii="宋体" w:hAnsi="宋体" w:eastAsia="宋体"/>
          <w:sz w:val="21"/>
          <w:szCs w:val="21"/>
          <w:lang w:eastAsia="zh-CN"/>
        </w:rPr>
        <w:t>级</w:t>
      </w:r>
      <w:r>
        <w:rPr>
          <w:rFonts w:hint="eastAsia" w:ascii="宋体" w:hAnsi="宋体" w:eastAsia="宋体"/>
          <w:sz w:val="21"/>
          <w:szCs w:val="21"/>
        </w:rPr>
        <w:t>时间精度</w:t>
      </w:r>
      <w:r>
        <w:rPr>
          <w:rFonts w:hint="eastAsia" w:ascii="宋体" w:hAnsi="宋体" w:eastAsia="宋体"/>
          <w:sz w:val="21"/>
          <w:szCs w:val="21"/>
          <w:lang w:eastAsia="zh-CN"/>
        </w:rPr>
        <w:t>的统计</w:t>
      </w:r>
      <w:r>
        <w:rPr>
          <w:rFonts w:hint="eastAsia" w:ascii="宋体" w:hAnsi="宋体" w:eastAsia="宋体"/>
          <w:sz w:val="21"/>
          <w:szCs w:val="21"/>
        </w:rPr>
        <w:t>。支持Oracle、DB2、MySQL和SqlServer的协议的交易识别分析功能，提供交易处理数量、响应统计，交易处理时间趋势图，能够统计每个SQL语句的请求/响应/无响应次数、请求传输时间、响应传输时间、交易处理时间等交易统计参数，所有统计参数支持按实时1秒级时间精度展示。异常流量分析及告警</w:t>
      </w:r>
      <w:r>
        <w:rPr>
          <w:rFonts w:hint="eastAsia" w:ascii="宋体" w:hAnsi="宋体" w:eastAsia="宋体"/>
          <w:sz w:val="21"/>
          <w:szCs w:val="21"/>
          <w:lang w:val="en-US" w:eastAsia="zh-CN"/>
        </w:rPr>
        <w:t xml:space="preserve"> </w:t>
      </w:r>
      <w:r>
        <w:rPr>
          <w:rFonts w:hint="eastAsia" w:ascii="宋体" w:hAnsi="宋体" w:eastAsia="宋体"/>
          <w:sz w:val="21"/>
          <w:szCs w:val="21"/>
        </w:rPr>
        <w:t>支持对TCP/UDP数据流进行监测。支持使用探针包含的主机、网络和</w:t>
      </w:r>
      <w:r>
        <w:rPr>
          <w:rFonts w:hint="eastAsia" w:ascii="宋体" w:hAnsi="宋体" w:eastAsia="宋体"/>
          <w:sz w:val="21"/>
          <w:szCs w:val="21"/>
          <w:lang w:eastAsia="zh-CN"/>
        </w:rPr>
        <w:t>应用</w:t>
      </w:r>
      <w:r>
        <w:rPr>
          <w:rFonts w:hint="eastAsia" w:ascii="宋体" w:hAnsi="宋体" w:eastAsia="宋体"/>
          <w:sz w:val="21"/>
          <w:szCs w:val="21"/>
        </w:rPr>
        <w:t>等性能</w:t>
      </w:r>
      <w:r>
        <w:rPr>
          <w:rFonts w:hint="eastAsia" w:ascii="宋体" w:hAnsi="宋体" w:eastAsia="宋体"/>
          <w:sz w:val="21"/>
          <w:szCs w:val="21"/>
          <w:lang w:eastAsia="zh-CN"/>
        </w:rPr>
        <w:t>分析</w:t>
      </w:r>
      <w:r>
        <w:rPr>
          <w:rFonts w:hint="eastAsia" w:ascii="宋体" w:hAnsi="宋体" w:eastAsia="宋体"/>
          <w:sz w:val="21"/>
          <w:szCs w:val="21"/>
        </w:rPr>
        <w:t>指标定制告警；支持流量突发警报，可配置比特率峰值、数据包等统计指标，配置突增/突降的百分比阈值。支持告警信息通过邮件、 Syslog方式推送。故障和安全分析模块</w:t>
      </w:r>
      <w:r>
        <w:rPr>
          <w:rFonts w:hint="eastAsia" w:ascii="宋体" w:hAnsi="宋体" w:eastAsia="宋体"/>
          <w:sz w:val="21"/>
          <w:szCs w:val="21"/>
          <w:lang w:val="en-US" w:eastAsia="zh-CN"/>
        </w:rPr>
        <w:t xml:space="preserve"> </w:t>
      </w:r>
      <w:r>
        <w:rPr>
          <w:rFonts w:hint="eastAsia" w:ascii="宋体" w:hAnsi="宋体" w:eastAsia="宋体"/>
          <w:sz w:val="21"/>
          <w:szCs w:val="21"/>
        </w:rPr>
        <w:t>具有安全分析模块，安全分析模块中至少需包括：ARP攻击分析视图、蠕虫病毒主机分析视图、DoS攻击分析视图、TCP端口扫描视图、可疑会话视图，系统可以自动找出存在这些安全问题的行为特征的主机，并在各安全问题分析视图下提供发现安全问题的相应数据包分析视图。提供故障诊断视图功能，能够智能诊断常见的网络异常。支持将故障发生时关联的数据包进行全流量存储，以便对故障现象进行回溯分析，数据包含所有TCP会话及UDP会话；同时支持故障数据包的完整下载，为故障定责提供依据。报表功能</w:t>
      </w:r>
      <w:r>
        <w:rPr>
          <w:rFonts w:hint="eastAsia" w:ascii="宋体" w:hAnsi="宋体" w:eastAsia="宋体"/>
          <w:sz w:val="21"/>
          <w:szCs w:val="21"/>
          <w:lang w:val="en-US" w:eastAsia="zh-CN"/>
        </w:rPr>
        <w:t xml:space="preserve">  </w:t>
      </w:r>
      <w:r>
        <w:rPr>
          <w:rFonts w:hint="eastAsia" w:ascii="宋体" w:hAnsi="宋体" w:eastAsia="宋体"/>
          <w:sz w:val="21"/>
          <w:szCs w:val="21"/>
        </w:rPr>
        <w:t>具有内置的报表模板，能够从不同角度反应网络的历史运行状况；支持生成比对报表，可将报表周期内的数据与历史同期或指定的其他时段数据进行比对，并在同一报表内容中展现；支持报表导出，能够将报表导出为HTML格式文档。协议和应用识别及解码</w:t>
      </w:r>
      <w:r>
        <w:rPr>
          <w:rFonts w:hint="eastAsia" w:ascii="宋体" w:hAnsi="宋体" w:eastAsia="宋体"/>
          <w:sz w:val="21"/>
          <w:szCs w:val="21"/>
          <w:lang w:val="en-US" w:eastAsia="zh-CN"/>
        </w:rPr>
        <w:t xml:space="preserve"> </w:t>
      </w:r>
      <w:r>
        <w:rPr>
          <w:rFonts w:hint="eastAsia" w:ascii="宋体" w:hAnsi="宋体" w:eastAsia="宋体"/>
          <w:sz w:val="21"/>
          <w:szCs w:val="21"/>
        </w:rPr>
        <w:t>支持数据包解码功能，系统支持数据在线包解码，可针对流量做L2至L7层数据包解封装。支持对多种</w:t>
      </w:r>
      <w:r>
        <w:rPr>
          <w:rFonts w:hint="eastAsia" w:ascii="宋体" w:hAnsi="宋体" w:eastAsia="宋体"/>
          <w:sz w:val="21"/>
          <w:szCs w:val="21"/>
          <w:lang w:val="en-US" w:eastAsia="zh-CN"/>
        </w:rPr>
        <w:t>应用层、网络层</w:t>
      </w:r>
      <w:r>
        <w:rPr>
          <w:rFonts w:hint="eastAsia" w:ascii="宋体" w:hAnsi="宋体" w:eastAsia="宋体"/>
          <w:sz w:val="21"/>
          <w:szCs w:val="21"/>
        </w:rPr>
        <w:t>和</w:t>
      </w:r>
      <w:r>
        <w:rPr>
          <w:rFonts w:hint="eastAsia" w:ascii="宋体" w:hAnsi="宋体" w:eastAsia="宋体"/>
          <w:sz w:val="21"/>
          <w:szCs w:val="21"/>
          <w:lang w:val="en-US" w:eastAsia="zh-CN"/>
        </w:rPr>
        <w:t>数据链路层</w:t>
      </w:r>
      <w:r>
        <w:rPr>
          <w:rFonts w:hint="eastAsia" w:ascii="宋体" w:hAnsi="宋体" w:eastAsia="宋体"/>
          <w:sz w:val="21"/>
          <w:szCs w:val="21"/>
        </w:rPr>
        <w:t>协议报文进行统计分析。支持TCP会话的时序图分析功能，能够图形化的显示TCP会话中的数据交互传输过程，能够图形化显示数据传输中的时间间隔</w:t>
      </w:r>
      <w:r>
        <w:rPr>
          <w:rFonts w:hint="eastAsia" w:ascii="宋体" w:hAnsi="宋体" w:eastAsia="宋体"/>
          <w:sz w:val="21"/>
          <w:szCs w:val="21"/>
          <w:lang w:eastAsia="zh-CN"/>
        </w:rPr>
        <w:t>。</w:t>
      </w:r>
      <w:r>
        <w:rPr>
          <w:rFonts w:hint="eastAsia" w:ascii="宋体" w:hAnsi="宋体" w:eastAsia="宋体"/>
          <w:sz w:val="21"/>
          <w:szCs w:val="21"/>
        </w:rPr>
        <w:t>支持数据流重组，至少支持十六进制、ASCII码、UTF-8等方式展现会话内容；展现 tcp 会话建立连接三次握手及关闭连接的交易时序图</w:t>
      </w:r>
      <w:r>
        <w:rPr>
          <w:rFonts w:hint="eastAsia" w:ascii="宋体" w:hAnsi="宋体" w:eastAsia="宋体"/>
          <w:sz w:val="21"/>
          <w:szCs w:val="21"/>
          <w:lang w:eastAsia="zh-CN"/>
        </w:rPr>
        <w:t>。</w:t>
      </w:r>
    </w:p>
    <w:p>
      <w:pPr>
        <w:pStyle w:val="5"/>
        <w:spacing w:line="240" w:lineRule="auto"/>
        <w:rPr>
          <w:rFonts w:hint="default" w:hAnsi="黑体" w:eastAsia="黑体"/>
          <w:sz w:val="21"/>
          <w:szCs w:val="21"/>
          <w:highlight w:val="yellow"/>
          <w:lang w:val="en-US" w:eastAsia="zh-CN"/>
        </w:rPr>
      </w:pPr>
    </w:p>
    <w:p>
      <w:pPr>
        <w:pStyle w:val="5"/>
        <w:rPr>
          <w:rFonts w:hint="default" w:hAnsi="黑体" w:eastAsia="黑体"/>
          <w:sz w:val="24"/>
          <w:szCs w:val="24"/>
          <w:highlight w:val="yellow"/>
          <w:lang w:val="en-US" w:eastAsia="zh-CN"/>
        </w:rPr>
      </w:pPr>
      <w:r>
        <w:rPr>
          <w:rFonts w:hint="default" w:ascii="宋体" w:hAnsi="宋体" w:eastAsia="宋体" w:cs="黑体"/>
          <w:b/>
          <w:bCs/>
          <w:kern w:val="2"/>
          <w:sz w:val="21"/>
          <w:szCs w:val="21"/>
          <w:lang w:val="en-US" w:eastAsia="zh-CN" w:bidi="ar-SA"/>
        </w:rPr>
        <w:t>灾备系统服务</w:t>
      </w:r>
      <w:r>
        <w:rPr>
          <w:rFonts w:hint="eastAsia" w:ascii="宋体" w:hAnsi="宋体" w:cs="黑体"/>
          <w:b/>
          <w:bCs/>
          <w:kern w:val="2"/>
          <w:sz w:val="21"/>
          <w:szCs w:val="21"/>
          <w:lang w:val="en-US" w:eastAsia="zh-CN" w:bidi="ar-SA"/>
        </w:rPr>
        <w:t>需求</w:t>
      </w:r>
    </w:p>
    <w:p>
      <w:pPr>
        <w:pStyle w:val="6"/>
        <w:ind w:firstLine="420" w:firstLineChars="200"/>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采用统一的灾备软件或其他方式实现容灾备份，灾备软件架构如图2所示，软件需支持各个主流厂商的硬件及操作系统平台，至少支持Linux、Windows。需支持Oracle、SQL Server、Mysql、Cache等主流数据库的不同版本。需支持在上述异构平台间的实施一对一、一对多、多对一等多样化模式的数据实时同步复制。软件必须尽可能少的占用系统资源，保证主机的正常运行。对源端CPU占用需小于5％；内存占用小于300M；目标端CPU占用小于5％；内存占用小于300M。</w:t>
      </w:r>
    </w:p>
    <w:p>
      <w:pPr>
        <w:pStyle w:val="6"/>
        <w:rPr>
          <w:rFonts w:hint="eastAsia"/>
        </w:rPr>
      </w:pPr>
      <w:r>
        <w:rPr>
          <w:rFonts w:ascii="楷体" w:hAnsi="楷体" w:eastAsia="楷体" w:cs="Arial"/>
          <w:kern w:val="0"/>
          <w:szCs w:val="21"/>
        </w:rPr>
        <w:drawing>
          <wp:inline distT="0" distB="0" distL="114300" distR="114300">
            <wp:extent cx="5274310" cy="3183255"/>
            <wp:effectExtent l="0" t="0" r="2540" b="17145"/>
            <wp:docPr id="4" name="图片 2" descr="E:\淮安项目\淮安第二人民医院\新建 Microsoft Visio 绘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E:\淮安项目\淮安第二人民医院\新建 Microsoft Visio 绘图.jpg"/>
                    <pic:cNvPicPr>
                      <a:picLocks noChangeAspect="1"/>
                    </pic:cNvPicPr>
                  </pic:nvPicPr>
                  <pic:blipFill>
                    <a:blip r:embed="rId6"/>
                    <a:stretch>
                      <a:fillRect/>
                    </a:stretch>
                  </pic:blipFill>
                  <pic:spPr>
                    <a:xfrm>
                      <a:off x="0" y="0"/>
                      <a:ext cx="5274310" cy="3183255"/>
                    </a:xfrm>
                    <a:prstGeom prst="rect">
                      <a:avLst/>
                    </a:prstGeom>
                    <a:noFill/>
                    <a:ln>
                      <a:noFill/>
                    </a:ln>
                  </pic:spPr>
                </pic:pic>
              </a:graphicData>
            </a:graphic>
          </wp:inline>
        </w:drawing>
      </w:r>
    </w:p>
    <w:p>
      <w:pPr>
        <w:ind w:firstLine="482" w:firstLineChars="200"/>
        <w:jc w:val="center"/>
        <w:rPr>
          <w:rFonts w:hint="eastAsia" w:ascii="仿宋_GB2312" w:hAnsi="宋体" w:eastAsia="仿宋_GB2312" w:cs="宋体"/>
          <w:b/>
          <w:bCs/>
          <w:sz w:val="24"/>
          <w:szCs w:val="24"/>
        </w:rPr>
      </w:pPr>
      <w:r>
        <w:rPr>
          <w:rFonts w:hint="eastAsia" w:ascii="仿宋_GB2312" w:hAnsi="宋体" w:eastAsia="仿宋_GB2312" w:cs="宋体"/>
          <w:b/>
          <w:bCs/>
          <w:sz w:val="24"/>
          <w:szCs w:val="24"/>
        </w:rPr>
        <w:t>图</w:t>
      </w:r>
      <w:r>
        <w:rPr>
          <w:rFonts w:hint="eastAsia" w:ascii="仿宋_GB2312" w:hAnsi="宋体" w:eastAsia="仿宋_GB2312" w:cs="宋体"/>
          <w:b/>
          <w:bCs/>
          <w:sz w:val="24"/>
          <w:szCs w:val="24"/>
          <w:lang w:val="en-US" w:eastAsia="zh-CN"/>
        </w:rPr>
        <w:t>2</w:t>
      </w:r>
      <w:r>
        <w:rPr>
          <w:rFonts w:hint="eastAsia" w:ascii="仿宋_GB2312" w:hAnsi="宋体" w:eastAsia="仿宋_GB2312" w:cs="宋体"/>
          <w:b/>
          <w:bCs/>
          <w:sz w:val="24"/>
          <w:szCs w:val="24"/>
        </w:rPr>
        <w:t xml:space="preserve"> 灾备系统数据流转示意图</w:t>
      </w:r>
    </w:p>
    <w:p>
      <w:pPr>
        <w:pStyle w:val="6"/>
        <w:rPr>
          <w:rFonts w:hint="eastAsia"/>
        </w:rPr>
      </w:pPr>
    </w:p>
    <w:tbl>
      <w:tblPr>
        <w:tblStyle w:val="8"/>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1276"/>
        <w:gridCol w:w="5244"/>
        <w:gridCol w:w="709"/>
        <w:gridCol w:w="1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jc w:val="center"/>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序号</w:t>
            </w:r>
          </w:p>
        </w:tc>
        <w:tc>
          <w:tcPr>
            <w:tcW w:w="1276" w:type="dxa"/>
            <w:shd w:val="clear" w:color="auto" w:fill="auto"/>
          </w:tcPr>
          <w:p>
            <w:pPr>
              <w:spacing w:line="240" w:lineRule="auto"/>
              <w:jc w:val="center"/>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名称</w:t>
            </w:r>
          </w:p>
        </w:tc>
        <w:tc>
          <w:tcPr>
            <w:tcW w:w="5244" w:type="dxa"/>
            <w:shd w:val="clear" w:color="auto" w:fill="auto"/>
          </w:tcPr>
          <w:p>
            <w:pPr>
              <w:spacing w:line="240" w:lineRule="auto"/>
              <w:jc w:val="center"/>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详细描述</w:t>
            </w:r>
          </w:p>
        </w:tc>
        <w:tc>
          <w:tcPr>
            <w:tcW w:w="709" w:type="dxa"/>
            <w:shd w:val="clear" w:color="auto" w:fill="auto"/>
          </w:tcPr>
          <w:p>
            <w:pPr>
              <w:spacing w:line="240" w:lineRule="auto"/>
              <w:jc w:val="center"/>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数量</w:t>
            </w:r>
          </w:p>
        </w:tc>
        <w:tc>
          <w:tcPr>
            <w:tcW w:w="1206" w:type="dxa"/>
          </w:tcPr>
          <w:p>
            <w:pPr>
              <w:spacing w:line="240" w:lineRule="auto"/>
              <w:jc w:val="center"/>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1</w:t>
            </w:r>
          </w:p>
        </w:tc>
        <w:tc>
          <w:tcPr>
            <w:tcW w:w="1276"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数据库实时同步及数据归集服务</w:t>
            </w:r>
          </w:p>
        </w:tc>
        <w:tc>
          <w:tcPr>
            <w:tcW w:w="5244" w:type="dxa"/>
            <w:shd w:val="clear" w:color="auto" w:fill="auto"/>
          </w:tcPr>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需求描述：将多个生产系统中多种类型数据库数据实时同步复制到同一目标数据库，使目标库成为</w:t>
            </w:r>
          </w:p>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①统一的数据平台②查询/报表数据库，降低生产系统的压力③实现数据交互/共享平台，④数据抽取/合并/分发</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包含系统：手麻（2）、重症（2）、心电（2）、PACS/RIS（2）、病理（2）</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模块数量：新增10个数据库同步复制授权模块</w:t>
            </w:r>
          </w:p>
        </w:tc>
        <w:tc>
          <w:tcPr>
            <w:tcW w:w="709"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cs="黑体"/>
                <w:kern w:val="2"/>
                <w:sz w:val="21"/>
                <w:szCs w:val="21"/>
                <w:lang w:val="en-US" w:eastAsia="zh-CN" w:bidi="ar-SA"/>
              </w:rPr>
              <w:t>1</w:t>
            </w:r>
            <w:r>
              <w:rPr>
                <w:rFonts w:hint="eastAsia" w:ascii="宋体" w:hAnsi="宋体" w:eastAsia="宋体" w:cs="黑体"/>
                <w:kern w:val="2"/>
                <w:sz w:val="21"/>
                <w:szCs w:val="21"/>
                <w:lang w:val="en-US" w:eastAsia="zh-CN" w:bidi="ar-SA"/>
              </w:rPr>
              <w:t>年</w:t>
            </w:r>
          </w:p>
          <w:p>
            <w:pPr>
              <w:spacing w:line="240" w:lineRule="auto"/>
              <w:rPr>
                <w:rFonts w:hint="eastAsia" w:ascii="宋体" w:hAnsi="宋体" w:eastAsia="宋体" w:cs="黑体"/>
                <w:kern w:val="2"/>
                <w:sz w:val="21"/>
                <w:szCs w:val="21"/>
                <w:lang w:val="en-US" w:eastAsia="zh-CN" w:bidi="ar-SA"/>
              </w:rPr>
            </w:pPr>
          </w:p>
        </w:tc>
        <w:tc>
          <w:tcPr>
            <w:tcW w:w="1206" w:type="dxa"/>
          </w:tcPr>
          <w:p>
            <w:pPr>
              <w:spacing w:line="240" w:lineRule="auto"/>
              <w:rPr>
                <w:rFonts w:hint="eastAsia" w:ascii="宋体" w:hAnsi="宋体" w:eastAsia="宋体" w:cs="黑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2</w:t>
            </w:r>
          </w:p>
        </w:tc>
        <w:tc>
          <w:tcPr>
            <w:tcW w:w="1276"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静态库数据归集服务</w:t>
            </w:r>
          </w:p>
        </w:tc>
        <w:tc>
          <w:tcPr>
            <w:tcW w:w="5244" w:type="dxa"/>
            <w:shd w:val="clear" w:color="auto" w:fill="auto"/>
          </w:tcPr>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需求描述：将多种类型静态数据库数据汇聚到同一目标数据库，使目标库成为：</w:t>
            </w:r>
            <w:r>
              <w:rPr>
                <w:rFonts w:hint="eastAsia" w:ascii="宋体" w:hAnsi="宋体" w:cs="黑体"/>
                <w:kern w:val="2"/>
                <w:sz w:val="21"/>
                <w:szCs w:val="21"/>
                <w:lang w:val="en-US" w:eastAsia="zh-CN" w:bidi="ar-SA"/>
              </w:rPr>
              <w:t>同一</w:t>
            </w:r>
            <w:r>
              <w:rPr>
                <w:rFonts w:hint="eastAsia" w:ascii="宋体" w:hAnsi="宋体" w:eastAsia="宋体" w:cs="黑体"/>
                <w:kern w:val="2"/>
                <w:sz w:val="21"/>
                <w:szCs w:val="21"/>
                <w:lang w:val="en-US" w:eastAsia="zh-CN" w:bidi="ar-SA"/>
              </w:rPr>
              <w:t>的数据平台②查询/报表数据库，降低生产系统的压力③实现数据交互/共享平台④数据抽取/合并/分发</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模块数量：包含13个静态库一次性迁移汇聚授权模块</w:t>
            </w:r>
          </w:p>
        </w:tc>
        <w:tc>
          <w:tcPr>
            <w:tcW w:w="709"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1次</w:t>
            </w:r>
          </w:p>
        </w:tc>
        <w:tc>
          <w:tcPr>
            <w:tcW w:w="1206" w:type="dxa"/>
          </w:tcPr>
          <w:p>
            <w:pPr>
              <w:spacing w:line="240" w:lineRule="auto"/>
              <w:rPr>
                <w:rFonts w:hint="eastAsia" w:ascii="宋体" w:hAnsi="宋体" w:eastAsia="宋体" w:cs="黑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3</w:t>
            </w:r>
          </w:p>
        </w:tc>
        <w:tc>
          <w:tcPr>
            <w:tcW w:w="1276"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文件数据实时同步服务</w:t>
            </w:r>
          </w:p>
        </w:tc>
        <w:tc>
          <w:tcPr>
            <w:tcW w:w="5244" w:type="dxa"/>
            <w:shd w:val="clear" w:color="auto" w:fill="auto"/>
          </w:tcPr>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需求描述：提供对文件服务器进行块级实时复制，实现跨平台间的海量文件的实时同步复制，秒级延迟，目标文件始终处于可用状态</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模块数量：包含4台文件服务器同步复制模块授权</w:t>
            </w:r>
          </w:p>
        </w:tc>
        <w:tc>
          <w:tcPr>
            <w:tcW w:w="709"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cs="黑体"/>
                <w:kern w:val="2"/>
                <w:sz w:val="21"/>
                <w:szCs w:val="21"/>
                <w:lang w:val="en-US" w:eastAsia="zh-CN" w:bidi="ar-SA"/>
              </w:rPr>
              <w:t>1</w:t>
            </w:r>
            <w:r>
              <w:rPr>
                <w:rFonts w:hint="eastAsia" w:ascii="宋体" w:hAnsi="宋体" w:eastAsia="宋体" w:cs="黑体"/>
                <w:kern w:val="2"/>
                <w:sz w:val="21"/>
                <w:szCs w:val="21"/>
                <w:lang w:val="en-US" w:eastAsia="zh-CN" w:bidi="ar-SA"/>
              </w:rPr>
              <w:t>年</w:t>
            </w:r>
          </w:p>
        </w:tc>
        <w:tc>
          <w:tcPr>
            <w:tcW w:w="1206" w:type="dxa"/>
          </w:tcPr>
          <w:p>
            <w:pPr>
              <w:spacing w:line="240" w:lineRule="auto"/>
              <w:rPr>
                <w:rFonts w:hint="eastAsia" w:ascii="宋体" w:hAnsi="宋体" w:eastAsia="宋体" w:cs="黑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4.</w:t>
            </w:r>
          </w:p>
        </w:tc>
        <w:tc>
          <w:tcPr>
            <w:tcW w:w="1276" w:type="dxa"/>
            <w:shd w:val="clear" w:color="auto" w:fill="auto"/>
          </w:tcPr>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数据库定时备份服务</w:t>
            </w:r>
          </w:p>
        </w:tc>
        <w:tc>
          <w:tcPr>
            <w:tcW w:w="5244" w:type="dxa"/>
            <w:shd w:val="clear" w:color="auto" w:fill="auto"/>
          </w:tcPr>
          <w:p>
            <w:pPr>
              <w:widowControl/>
              <w:spacing w:line="240" w:lineRule="auto"/>
              <w:jc w:val="lef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需求描述：针对各类型数据库提供的标准备份/ 恢复，实现各类数据库的全备、增备、差备、恢复等</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包含系统：手麻、重症、HRP、病案、病案翻拍、PACS、LIS、心电nlemr</w:t>
            </w:r>
            <w:r>
              <w:rPr>
                <w:rFonts w:hint="eastAsia" w:ascii="宋体" w:hAnsi="宋体" w:cs="黑体"/>
                <w:kern w:val="2"/>
                <w:sz w:val="21"/>
                <w:szCs w:val="21"/>
                <w:lang w:val="en-US" w:eastAsia="zh-CN" w:bidi="ar-SA"/>
              </w:rPr>
              <w:t>；</w:t>
            </w:r>
            <w:r>
              <w:rPr>
                <w:rFonts w:hint="eastAsia" w:ascii="宋体" w:hAnsi="宋体" w:eastAsia="宋体" w:cs="黑体"/>
                <w:kern w:val="2"/>
                <w:sz w:val="21"/>
                <w:szCs w:val="21"/>
                <w:lang w:val="en-US" w:eastAsia="zh-CN" w:bidi="ar-SA"/>
              </w:rPr>
              <w:t>模块数量：包含8个数据库备份授权模块授权</w:t>
            </w:r>
          </w:p>
        </w:tc>
        <w:tc>
          <w:tcPr>
            <w:tcW w:w="709"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cs="黑体"/>
                <w:kern w:val="2"/>
                <w:sz w:val="21"/>
                <w:szCs w:val="21"/>
                <w:lang w:val="en-US" w:eastAsia="zh-CN" w:bidi="ar-SA"/>
              </w:rPr>
              <w:t>1</w:t>
            </w:r>
            <w:r>
              <w:rPr>
                <w:rFonts w:hint="eastAsia" w:ascii="宋体" w:hAnsi="宋体" w:eastAsia="宋体" w:cs="黑体"/>
                <w:kern w:val="2"/>
                <w:sz w:val="21"/>
                <w:szCs w:val="21"/>
                <w:lang w:val="en-US" w:eastAsia="zh-CN" w:bidi="ar-SA"/>
              </w:rPr>
              <w:t>年</w:t>
            </w:r>
          </w:p>
        </w:tc>
        <w:tc>
          <w:tcPr>
            <w:tcW w:w="1206" w:type="dxa"/>
          </w:tcPr>
          <w:p>
            <w:pPr>
              <w:spacing w:line="240" w:lineRule="auto"/>
              <w:rPr>
                <w:rFonts w:hint="eastAsia" w:ascii="宋体" w:hAnsi="宋体" w:eastAsia="宋体" w:cs="黑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7"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2</w:t>
            </w:r>
          </w:p>
        </w:tc>
        <w:tc>
          <w:tcPr>
            <w:tcW w:w="1276"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技术服务</w:t>
            </w:r>
          </w:p>
        </w:tc>
        <w:tc>
          <w:tcPr>
            <w:tcW w:w="5244"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原厂安装、调试、检验</w:t>
            </w:r>
          </w:p>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原厂认证培训</w:t>
            </w:r>
          </w:p>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原厂7×24电话和远程不间断技术支持服务</w:t>
            </w:r>
          </w:p>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原厂7×24用户现场技术支持服务</w:t>
            </w:r>
          </w:p>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原厂季度巡检，软件补丁和版本升级服务</w:t>
            </w:r>
          </w:p>
          <w:p>
            <w:pPr>
              <w:spacing w:line="240" w:lineRule="auto"/>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重大数据故障，原厂现场技术支持服务</w:t>
            </w:r>
          </w:p>
        </w:tc>
        <w:tc>
          <w:tcPr>
            <w:tcW w:w="709" w:type="dxa"/>
            <w:shd w:val="clear" w:color="auto" w:fill="auto"/>
          </w:tcPr>
          <w:p>
            <w:pPr>
              <w:spacing w:line="240" w:lineRule="auto"/>
              <w:rPr>
                <w:rFonts w:hint="eastAsia" w:ascii="宋体" w:hAnsi="宋体" w:eastAsia="宋体" w:cs="黑体"/>
                <w:kern w:val="2"/>
                <w:sz w:val="21"/>
                <w:szCs w:val="21"/>
                <w:lang w:val="en-US" w:eastAsia="zh-CN" w:bidi="ar-SA"/>
              </w:rPr>
            </w:pPr>
            <w:r>
              <w:rPr>
                <w:rFonts w:hint="eastAsia" w:ascii="宋体" w:hAnsi="宋体" w:cs="黑体"/>
                <w:kern w:val="2"/>
                <w:sz w:val="21"/>
                <w:szCs w:val="21"/>
                <w:lang w:val="en-US" w:eastAsia="zh-CN" w:bidi="ar-SA"/>
              </w:rPr>
              <w:t>1</w:t>
            </w:r>
            <w:r>
              <w:rPr>
                <w:rFonts w:hint="eastAsia" w:ascii="宋体" w:hAnsi="宋体" w:eastAsia="宋体" w:cs="黑体"/>
                <w:kern w:val="2"/>
                <w:sz w:val="21"/>
                <w:szCs w:val="21"/>
                <w:lang w:val="en-US" w:eastAsia="zh-CN" w:bidi="ar-SA"/>
              </w:rPr>
              <w:t>年</w:t>
            </w:r>
          </w:p>
        </w:tc>
        <w:tc>
          <w:tcPr>
            <w:tcW w:w="1206" w:type="dxa"/>
          </w:tcPr>
          <w:p>
            <w:pPr>
              <w:spacing w:line="240" w:lineRule="auto"/>
              <w:rPr>
                <w:rFonts w:hint="eastAsia" w:ascii="宋体" w:hAnsi="宋体" w:eastAsia="宋体" w:cs="黑体"/>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7" w:type="dxa"/>
            <w:gridSpan w:val="3"/>
            <w:shd w:val="clear" w:color="auto" w:fill="auto"/>
          </w:tcPr>
          <w:p>
            <w:pPr>
              <w:spacing w:line="240" w:lineRule="auto"/>
              <w:jc w:val="right"/>
              <w:rPr>
                <w:rFonts w:hint="eastAsia" w:ascii="宋体" w:hAnsi="宋体" w:eastAsia="宋体" w:cs="黑体"/>
                <w:kern w:val="2"/>
                <w:sz w:val="21"/>
                <w:szCs w:val="21"/>
                <w:lang w:val="en-US" w:eastAsia="zh-CN" w:bidi="ar-SA"/>
              </w:rPr>
            </w:pPr>
            <w:r>
              <w:rPr>
                <w:rFonts w:hint="eastAsia" w:ascii="宋体" w:hAnsi="宋体" w:eastAsia="宋体" w:cs="黑体"/>
                <w:kern w:val="2"/>
                <w:sz w:val="21"/>
                <w:szCs w:val="21"/>
                <w:lang w:val="en-US" w:eastAsia="zh-CN" w:bidi="ar-SA"/>
              </w:rPr>
              <w:t>总价（元）</w:t>
            </w:r>
          </w:p>
        </w:tc>
        <w:tc>
          <w:tcPr>
            <w:tcW w:w="1915" w:type="dxa"/>
            <w:gridSpan w:val="2"/>
            <w:shd w:val="clear" w:color="auto" w:fill="auto"/>
          </w:tcPr>
          <w:p>
            <w:pPr>
              <w:spacing w:line="240" w:lineRule="auto"/>
              <w:rPr>
                <w:rFonts w:hint="eastAsia" w:ascii="宋体" w:hAnsi="宋体" w:eastAsia="宋体" w:cs="黑体"/>
                <w:kern w:val="2"/>
                <w:sz w:val="21"/>
                <w:szCs w:val="21"/>
                <w:lang w:val="en-US" w:eastAsia="zh-CN" w:bidi="ar-SA"/>
              </w:rPr>
            </w:pPr>
          </w:p>
        </w:tc>
      </w:tr>
    </w:tbl>
    <w:p>
      <w:pPr>
        <w:pStyle w:val="5"/>
        <w:rPr>
          <w:rFonts w:hint="default" w:hAnsi="黑体" w:eastAsia="黑体"/>
          <w:sz w:val="24"/>
          <w:szCs w:val="24"/>
          <w:highlight w:val="yellow"/>
          <w:lang w:val="en-US" w:eastAsia="zh-CN"/>
        </w:rPr>
      </w:pPr>
    </w:p>
    <w:p>
      <w:pPr>
        <w:pStyle w:val="5"/>
        <w:rPr>
          <w:rFonts w:hint="eastAsia" w:hAnsi="黑体" w:eastAsia="宋体"/>
          <w:sz w:val="24"/>
          <w:szCs w:val="24"/>
          <w:highlight w:val="yellow"/>
          <w:lang w:val="en-US" w:eastAsia="zh-CN"/>
        </w:rPr>
      </w:pPr>
      <w:r>
        <w:rPr>
          <w:rFonts w:hint="default" w:ascii="宋体" w:hAnsi="宋体" w:eastAsia="宋体" w:cs="黑体"/>
          <w:b/>
          <w:bCs/>
          <w:kern w:val="2"/>
          <w:sz w:val="21"/>
          <w:szCs w:val="21"/>
          <w:lang w:val="en-US" w:eastAsia="zh-CN" w:bidi="ar-SA"/>
        </w:rPr>
        <w:t>VMware虚拟化平台运维服务</w:t>
      </w:r>
      <w:r>
        <w:rPr>
          <w:rFonts w:hint="eastAsia" w:ascii="宋体" w:hAnsi="宋体" w:eastAsia="宋体" w:cs="黑体"/>
          <w:b/>
          <w:bCs/>
          <w:kern w:val="2"/>
          <w:sz w:val="21"/>
          <w:szCs w:val="21"/>
          <w:lang w:val="en-US" w:eastAsia="zh-CN" w:bidi="ar-SA"/>
        </w:rPr>
        <w:t xml:space="preserve">  </w:t>
      </w:r>
      <w:r>
        <w:rPr>
          <w:rFonts w:hint="eastAsia"/>
          <w:szCs w:val="21"/>
        </w:rPr>
        <w:t>现有VMware服务器虚拟化</w:t>
      </w:r>
      <w:r>
        <w:rPr>
          <w:rFonts w:hint="eastAsia"/>
          <w:szCs w:val="21"/>
          <w:lang w:val="en-US" w:eastAsia="zh-CN"/>
        </w:rPr>
        <w:t>集群</w:t>
      </w:r>
      <w:r>
        <w:rPr>
          <w:rFonts w:hint="eastAsia"/>
          <w:szCs w:val="21"/>
        </w:rPr>
        <w:t>日常维护和故障解决，包括不限于远程或现场技术支持；一年</w:t>
      </w:r>
      <w:r>
        <w:rPr>
          <w:rFonts w:hint="eastAsia"/>
          <w:szCs w:val="21"/>
          <w:lang w:val="en-US" w:eastAsia="zh-CN"/>
        </w:rPr>
        <w:t>至少4</w:t>
      </w:r>
      <w:r>
        <w:rPr>
          <w:rFonts w:hint="eastAsia"/>
          <w:szCs w:val="21"/>
        </w:rPr>
        <w:t>次上门巡检，每次出具巡检报告；医院</w:t>
      </w:r>
      <w:r>
        <w:rPr>
          <w:szCs w:val="21"/>
        </w:rPr>
        <w:t>在发生重大</w:t>
      </w:r>
      <w:r>
        <w:rPr>
          <w:rFonts w:hint="eastAsia"/>
          <w:szCs w:val="21"/>
        </w:rPr>
        <w:t>生产</w:t>
      </w:r>
      <w:r>
        <w:rPr>
          <w:szCs w:val="21"/>
        </w:rPr>
        <w:t>事件时，派技术专家及时在规定的时间内到达现场，协助用户解决安全事件，并提供</w:t>
      </w:r>
      <w:r>
        <w:rPr>
          <w:rFonts w:hint="eastAsia"/>
          <w:szCs w:val="21"/>
        </w:rPr>
        <w:t>事件</w:t>
      </w:r>
      <w:r>
        <w:rPr>
          <w:szCs w:val="21"/>
        </w:rPr>
        <w:t>的分析和溯源，最终出具事件处理报告</w:t>
      </w:r>
      <w:r>
        <w:rPr>
          <w:rFonts w:hint="eastAsia"/>
          <w:szCs w:val="21"/>
        </w:rPr>
        <w:t>；医院重要时刻派驻技术专家到现场支持保障，</w:t>
      </w:r>
      <w:r>
        <w:rPr>
          <w:rFonts w:hint="eastAsia"/>
          <w:szCs w:val="21"/>
          <w:lang w:val="en-US" w:eastAsia="zh-CN"/>
        </w:rPr>
        <w:t>一般</w:t>
      </w:r>
      <w:r>
        <w:rPr>
          <w:rFonts w:hint="eastAsia"/>
          <w:szCs w:val="21"/>
        </w:rPr>
        <w:t>不超过4次；配合其他厂商做服务器虚拟化安全加固等工作；提供一名VMware VCP认证培训名额，</w:t>
      </w:r>
      <w:r>
        <w:rPr>
          <w:rFonts w:hint="eastAsia"/>
        </w:rPr>
        <w:t>包括1次原厂课程培训和认证考试，经过原厂培训，达到可自行熟练操作软件相关功能的标准</w:t>
      </w:r>
      <w:r>
        <w:rPr>
          <w:rFonts w:hint="eastAsia"/>
          <w:lang w:eastAsia="zh-CN"/>
        </w:rPr>
        <w:t>。</w:t>
      </w:r>
    </w:p>
    <w:p>
      <w:pPr>
        <w:adjustRightInd/>
        <w:spacing w:line="240" w:lineRule="auto"/>
        <w:ind w:firstLine="422" w:firstLineChars="200"/>
        <w:jc w:val="both"/>
        <w:textAlignment w:val="auto"/>
        <w:rPr>
          <w:rFonts w:ascii="宋体" w:hAnsi="宋体"/>
          <w:sz w:val="24"/>
          <w:szCs w:val="24"/>
        </w:rPr>
      </w:pPr>
      <w:r>
        <w:rPr>
          <w:rFonts w:hint="default" w:ascii="宋体" w:hAnsi="宋体" w:eastAsia="宋体" w:cs="黑体"/>
          <w:b/>
          <w:bCs/>
          <w:kern w:val="2"/>
          <w:sz w:val="21"/>
          <w:szCs w:val="21"/>
          <w:lang w:val="en-US" w:eastAsia="zh-CN" w:bidi="ar-SA"/>
        </w:rPr>
        <w:t>医院信息化安全加固服务</w:t>
      </w:r>
      <w:r>
        <w:rPr>
          <w:rFonts w:hint="eastAsia" w:ascii="宋体" w:hAnsi="宋体" w:eastAsia="宋体" w:cs="黑体"/>
          <w:b/>
          <w:bCs/>
          <w:kern w:val="2"/>
          <w:sz w:val="21"/>
          <w:szCs w:val="21"/>
          <w:lang w:val="en-US" w:eastAsia="zh-CN" w:bidi="ar-SA"/>
        </w:rPr>
        <w:t xml:space="preserve"> </w:t>
      </w:r>
      <w:r>
        <w:rPr>
          <w:rFonts w:hint="eastAsia" w:ascii="Calibri" w:hAnsi="Calibri" w:eastAsia="宋体" w:cs="黑体"/>
          <w:kern w:val="2"/>
          <w:sz w:val="21"/>
          <w:szCs w:val="21"/>
          <w:lang w:val="en-US" w:eastAsia="zh-CN" w:bidi="ar-SA"/>
        </w:rPr>
        <w:t xml:space="preserve"> 安全系统的运维要求专业技术较高，医院专业安全技术人员不足，在系统建设与运行期需引入专业的安全运维团队进行支撑，来保障系统的稳定安全运行，同时通过专业的安全运维和安全培训，逐步建立能持续完善、自我优化的安全运维体系。</w:t>
      </w:r>
      <w:r>
        <w:rPr>
          <w:rFonts w:hint="default" w:asciiTheme="minorHAnsi" w:hAnsiTheme="minorHAnsi" w:eastAsiaTheme="minorEastAsia" w:cstheme="minorBidi"/>
          <w:sz w:val="21"/>
          <w:szCs w:val="21"/>
          <w:lang w:val="en-US" w:eastAsia="zh-CN"/>
        </w:rPr>
        <w:t>资产梳理</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梳理自有的信息系统资产信息，包含一、二级域名、设备类型、操作系统版本、IP地址、负责人、资产拓扑等信息，建立并维护资产台账；1次/年</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漏洞扫描</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每季度对主机开展安全漏洞扫描</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1次/季度</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渗透测试</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模拟黑客对网站展开渗透测试发现应用代码层漏洞</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1次/半年</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弱口令检查</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对网站后台、操作系统、数据库、安全设备等弱口令进行检查</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1次/半年</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安全加固</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发现安全问题提出安全加固建议，指导并协助厂商进行整改</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1次/季度</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安全保障</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针对重要敏感保障时期，攻防演习期间，提供人员进行安全保障防守服务</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按需</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安全培训</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每年进行一次信息安全意识培训，开展一次网络安全技能培训</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1次/半年</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应急响应和应急演练</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在发生重大安全事件时，派安全技术专家及时在规定的时间内到达现场，协助用户解决安全事件，并提供安全事件的分析和溯源，最终出具安全事件处理报告；2、每年开展一次应急演练服务</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1次/年</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总结报告</w:t>
      </w:r>
      <w:r>
        <w:rPr>
          <w:rFonts w:hint="eastAsia" w:asciiTheme="minorHAnsi" w:hAnsiTheme="minorHAnsi" w:eastAsiaTheme="minorEastAsia" w:cstheme="minorBidi"/>
          <w:sz w:val="21"/>
          <w:szCs w:val="21"/>
          <w:lang w:val="en-US" w:eastAsia="zh-CN"/>
        </w:rPr>
        <w:t>：</w:t>
      </w:r>
      <w:r>
        <w:rPr>
          <w:rFonts w:hint="default" w:asciiTheme="minorHAnsi" w:hAnsiTheme="minorHAnsi" w:eastAsiaTheme="minorEastAsia" w:cstheme="minorBidi"/>
          <w:sz w:val="21"/>
          <w:szCs w:val="21"/>
          <w:lang w:val="en-US" w:eastAsia="zh-CN"/>
        </w:rPr>
        <w:t>网络安全工作开展进度及阶段成果进行季度总结，汇报相关情况</w:t>
      </w:r>
      <w:r>
        <w:rPr>
          <w:rFonts w:hint="eastAsia" w:asciiTheme="minorHAnsi" w:hAnsiTheme="minorHAnsi" w:eastAsiaTheme="minorEastAsia" w:cstheme="minorBidi"/>
          <w:sz w:val="21"/>
          <w:szCs w:val="21"/>
          <w:lang w:val="en-US" w:eastAsia="zh-CN"/>
        </w:rPr>
        <w:t>。</w:t>
      </w:r>
    </w:p>
    <w:p>
      <w:pPr>
        <w:pStyle w:val="5"/>
        <w:rPr>
          <w:rFonts w:hint="default" w:ascii="宋体" w:hAnsi="宋体" w:eastAsia="宋体" w:cs="黑体"/>
          <w:b/>
          <w:bCs/>
          <w:kern w:val="2"/>
          <w:sz w:val="21"/>
          <w:szCs w:val="21"/>
          <w:lang w:val="en-US" w:eastAsia="zh-CN" w:bidi="ar-SA"/>
        </w:rPr>
      </w:pPr>
    </w:p>
    <w:p>
      <w:pPr>
        <w:pStyle w:val="5"/>
        <w:rPr>
          <w:rFonts w:hint="default" w:ascii="宋体" w:hAnsi="宋体" w:eastAsia="宋体" w:cs="黑体"/>
          <w:b/>
          <w:bCs/>
          <w:kern w:val="2"/>
          <w:sz w:val="21"/>
          <w:szCs w:val="21"/>
          <w:lang w:val="en-US" w:eastAsia="zh-CN" w:bidi="ar-SA"/>
        </w:rPr>
      </w:pPr>
    </w:p>
    <w:p>
      <w:pPr>
        <w:rPr>
          <w:rFonts w:hint="eastAsia" w:ascii="宋体" w:hAnsi="宋体"/>
          <w:b w:val="0"/>
          <w:bCs w:val="0"/>
          <w:sz w:val="21"/>
          <w:szCs w:val="21"/>
        </w:rPr>
      </w:pPr>
    </w:p>
    <w:p>
      <w:pPr>
        <w:pStyle w:val="5"/>
        <w:rPr>
          <w:rFonts w:hint="eastAsia" w:ascii="宋体" w:hAnsi="宋体"/>
          <w:b w:val="0"/>
          <w:bCs w:val="0"/>
          <w:sz w:val="21"/>
          <w:szCs w:val="21"/>
        </w:rPr>
      </w:pPr>
    </w:p>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79A448"/>
    <w:multiLevelType w:val="singleLevel"/>
    <w:tmpl w:val="9F79A448"/>
    <w:lvl w:ilvl="0" w:tentative="0">
      <w:start w:val="1"/>
      <w:numFmt w:val="decimal"/>
      <w:suff w:val="nothing"/>
      <w:lvlText w:val="（%1）"/>
      <w:lvlJc w:val="left"/>
    </w:lvl>
  </w:abstractNum>
  <w:abstractNum w:abstractNumId="1">
    <w:nsid w:val="2412DEBB"/>
    <w:multiLevelType w:val="singleLevel"/>
    <w:tmpl w:val="2412DEBB"/>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5YjgxYjlmNzhhODkyOTMxNzI2OWEwMzVjMjUyZDcifQ=="/>
  </w:docVars>
  <w:rsids>
    <w:rsidRoot w:val="4E8978B5"/>
    <w:rsid w:val="2AD76BDC"/>
    <w:rsid w:val="4E8978B5"/>
    <w:rsid w:val="64662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jc w:val="center"/>
      <w:outlineLvl w:val="0"/>
    </w:pPr>
    <w:rPr>
      <w:b/>
      <w:kern w:val="44"/>
      <w:sz w:val="44"/>
      <w:szCs w:val="20"/>
    </w:rPr>
  </w:style>
  <w:style w:type="paragraph" w:styleId="3">
    <w:name w:val="heading 2"/>
    <w:basedOn w:val="1"/>
    <w:next w:val="1"/>
    <w:link w:val="13"/>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Normal Indent"/>
    <w:basedOn w:val="1"/>
    <w:qFormat/>
    <w:uiPriority w:val="0"/>
    <w:pPr>
      <w:ind w:firstLine="420"/>
    </w:pPr>
    <w:rPr>
      <w:szCs w:val="20"/>
    </w:rPr>
  </w:style>
  <w:style w:type="paragraph" w:styleId="6">
    <w:name w:val="Body Text"/>
    <w:basedOn w:val="1"/>
    <w:next w:val="1"/>
    <w:qFormat/>
    <w:uiPriority w:val="99"/>
    <w:pPr>
      <w:jc w:val="left"/>
    </w:pPr>
    <w:rPr>
      <w:kern w:val="0"/>
      <w:sz w:val="20"/>
      <w:szCs w:val="20"/>
    </w:rPr>
  </w:style>
  <w:style w:type="paragraph" w:styleId="7">
    <w:name w:val="footer"/>
    <w:basedOn w:val="1"/>
    <w:qFormat/>
    <w:uiPriority w:val="0"/>
    <w:pPr>
      <w:tabs>
        <w:tab w:val="center" w:pos="4153"/>
        <w:tab w:val="right" w:pos="8306"/>
      </w:tabs>
      <w:snapToGrid w:val="0"/>
      <w:jc w:val="left"/>
    </w:pPr>
    <w:rPr>
      <w:sz w:val="18"/>
    </w:rPr>
  </w:style>
  <w:style w:type="character" w:customStyle="1" w:styleId="10">
    <w:name w:val="font121"/>
    <w:basedOn w:val="9"/>
    <w:qFormat/>
    <w:uiPriority w:val="0"/>
    <w:rPr>
      <w:rFonts w:ascii="等线" w:hAnsi="等线" w:eastAsia="等线" w:cs="等线"/>
      <w:color w:val="000000"/>
      <w:sz w:val="22"/>
      <w:szCs w:val="22"/>
      <w:u w:val="none"/>
    </w:rPr>
  </w:style>
  <w:style w:type="character" w:customStyle="1" w:styleId="11">
    <w:name w:val="font131"/>
    <w:basedOn w:val="9"/>
    <w:qFormat/>
    <w:uiPriority w:val="0"/>
    <w:rPr>
      <w:rFonts w:hint="eastAsia" w:ascii="宋体" w:hAnsi="宋体" w:eastAsia="宋体" w:cs="宋体"/>
      <w:color w:val="000000"/>
      <w:sz w:val="22"/>
      <w:szCs w:val="22"/>
      <w:u w:val="none"/>
    </w:rPr>
  </w:style>
  <w:style w:type="paragraph" w:styleId="12">
    <w:name w:val="List Paragraph"/>
    <w:basedOn w:val="1"/>
    <w:qFormat/>
    <w:uiPriority w:val="99"/>
    <w:pPr>
      <w:ind w:firstLine="420" w:firstLineChars="200"/>
    </w:pPr>
  </w:style>
  <w:style w:type="character" w:customStyle="1" w:styleId="13">
    <w:name w:val="标题 2 字符"/>
    <w:link w:val="3"/>
    <w:qFormat/>
    <w:uiPriority w:val="0"/>
    <w:rPr>
      <w:rFonts w:ascii="Arial" w:hAnsi="Arial" w:eastAsia="黑体"/>
      <w:b/>
      <w:bCs/>
      <w:sz w:val="32"/>
      <w:szCs w:val="32"/>
    </w:rPr>
  </w:style>
  <w:style w:type="paragraph" w:customStyle="1" w:styleId="14">
    <w:name w:val="样式 10 磅"/>
    <w:qFormat/>
    <w:uiPriority w:val="0"/>
    <w:pPr>
      <w:widowControl w:val="0"/>
      <w:spacing w:line="440" w:lineRule="exact"/>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10174</Words>
  <Characters>11496</Characters>
  <Lines>0</Lines>
  <Paragraphs>0</Paragraphs>
  <TotalTime>4</TotalTime>
  <ScaleCrop>false</ScaleCrop>
  <LinksUpToDate>false</LinksUpToDate>
  <CharactersWithSpaces>11572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2023-03-29T12:54:00Z</dcterms:created>
  <dc:creator>晏子</dc:creator>
  <cp:lastModifiedBy>晏子</cp:lastModifiedBy>
  <dcterms:modified xsi:type="dcterms:W3CDTF">2023-03-29T13:06:27Z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21F70CE9C3C241199AE1CC61D1C5F366</vt:lpwstr>
  </property>
</Properties>
</file>