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样本稀释液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（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9元素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国产（√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ind w:firstLine="48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规格：100测试</w:t>
            </w:r>
            <w:r>
              <w:rPr>
                <w:rFonts w:hint="eastAsia" w:ascii="宋体" w:hAnsi="宋体"/>
                <w:sz w:val="24"/>
              </w:rPr>
              <w:t>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</w:pPr>
          </w:p>
          <w:p>
            <w:pPr>
              <w:ind w:firstLine="480" w:firstLineChars="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65" w:line="212" w:lineRule="auto"/>
              <w:ind w:left="41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Nitric acid 65% 、Triton⑧X- 100 、2-Propanol 、纯化水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97" w:line="180" w:lineRule="auto"/>
              <w:ind w:left="369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4"/>
                <w:lang w:val="en-US" w:eastAsia="zh-CN"/>
              </w:rPr>
              <w:t>规格：100测试</w:t>
            </w:r>
            <w:r>
              <w:rPr>
                <w:rFonts w:hint="eastAsia" w:ascii="宋体" w:hAnsi="宋体"/>
                <w:sz w:val="24"/>
              </w:rPr>
              <w:t>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45" w:line="379" w:lineRule="auto"/>
              <w:ind w:left="60" w:right="454" w:firstLine="349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用于对全血样本进行稀释，以便于使用仪器对待测物进行检测。具体用于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</w:rPr>
              <w:t>电感耦合等离子体质谱</w:t>
            </w:r>
            <w:r>
              <w:rPr>
                <w:rFonts w:hint="eastAsia" w:ascii="宋体" w:hAnsi="宋体" w:eastAsia="宋体" w:cs="宋体"/>
                <w:spacing w:val="8"/>
                <w:sz w:val="19"/>
                <w:szCs w:val="19"/>
                <w:lang w:val="en-US" w:eastAsia="zh-CN"/>
              </w:rPr>
              <w:t>仪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测定人全血中微量元素(镁Mg、钙Ca、锰Mn、铁Fe、铜Cu、锌Zn、砷As、硒Se、铅Pb</w:t>
            </w:r>
            <w:bookmarkStart w:id="0" w:name="_GoBack"/>
            <w:bookmarkEnd w:id="0"/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)含量时进行样本处理。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ind w:left="0" w:leftChars="0" w:firstLine="0" w:firstLineChars="0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1.外观：包装完整、组分齐全；组分标识清楚明确；试剂为无色澄清溶液。 </w:t>
            </w:r>
          </w:p>
          <w:p>
            <w:pPr>
              <w:pStyle w:val="2"/>
              <w:ind w:left="0" w:leftChars="0" w:firstLine="0" w:firstLineChars="0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2净含量：净含量为标示值的 </w:t>
            </w:r>
            <w:r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  <w:t>95%~105%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。 </w:t>
            </w:r>
          </w:p>
          <w:p>
            <w:pPr>
              <w:pStyle w:val="2"/>
              <w:ind w:left="0" w:leftChars="0" w:firstLine="0" w:firstLineChars="0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3 </w:t>
            </w:r>
            <w:r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  <w:t>pH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值：经过 </w:t>
            </w:r>
            <w:r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  <w:t xml:space="preserve">pH 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计测量后，</w:t>
            </w:r>
            <w:r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  <w:t xml:space="preserve">pH 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 xml:space="preserve">值为 </w:t>
            </w:r>
            <w:r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  <w:t>1.70-1.80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。</w:t>
            </w:r>
          </w:p>
          <w:p>
            <w:pPr>
              <w:pStyle w:val="2"/>
              <w:ind w:left="0" w:leftChars="0" w:firstLine="0" w:firstLineChars="0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4检出限：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10ppd</w:t>
            </w:r>
          </w:p>
          <w:p>
            <w:pPr>
              <w:pStyle w:val="2"/>
              <w:ind w:left="0" w:leftChars="0" w:firstLine="0" w:firstLineChars="0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5线性范围</w:t>
            </w:r>
          </w:p>
          <w:p>
            <w:pPr>
              <w:pStyle w:val="2"/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5.1线性相关系数r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≥</w:t>
            </w: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0.999</w:t>
            </w:r>
          </w:p>
          <w:p>
            <w:pPr>
              <w:pStyle w:val="2"/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5.2线性偏差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5%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6测量精密度</w:t>
            </w:r>
          </w:p>
          <w:p>
            <w:pPr>
              <w:pStyle w:val="2"/>
              <w:numPr>
                <w:ilvl w:val="0"/>
                <w:numId w:val="0"/>
              </w:numPr>
              <w:ind w:firstLine="210" w:firstLineChars="100"/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6.1重复性：CV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10%</w:t>
            </w:r>
          </w:p>
          <w:p>
            <w:pPr>
              <w:pStyle w:val="2"/>
              <w:numPr>
                <w:ilvl w:val="0"/>
                <w:numId w:val="0"/>
              </w:numPr>
              <w:ind w:firstLine="210" w:firstLineChars="100"/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6.2批内瓶间差</w:t>
            </w: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CV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5%</w:t>
            </w:r>
          </w:p>
          <w:p>
            <w:pPr>
              <w:pStyle w:val="2"/>
              <w:numPr>
                <w:ilvl w:val="0"/>
                <w:numId w:val="0"/>
              </w:numPr>
              <w:ind w:firstLine="210" w:firstLineChars="100"/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6.3批间差</w:t>
            </w:r>
            <w:r>
              <w:rPr>
                <w:rFonts w:hint="eastAsia" w:ascii="Calibri" w:hAnsi="Calibri" w:eastAsia="宋体" w:cs="Calibri"/>
                <w:sz w:val="21"/>
                <w:szCs w:val="21"/>
                <w:lang w:val="en-US" w:eastAsia="zh-CN"/>
              </w:rPr>
              <w:t>CV</w:t>
            </w: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≤</w:t>
            </w: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5%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Arial" w:eastAsia="宋体" w:cs="Arial"/>
                <w:sz w:val="21"/>
                <w:szCs w:val="21"/>
                <w:lang w:val="en-US" w:eastAsia="zh-CN"/>
              </w:rPr>
              <w:t>7准确度：各元素的加标回收率在80%-120%之间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0YWI1N2IyZjBmNWY1OWM3NjczYTk4YjNhZThmYzgifQ=="/>
    <w:docVar w:name="KSO_WPS_MARK_KEY" w:val="eedd0156-9b98-4987-a8f9-6741f67b7919"/>
  </w:docVars>
  <w:rsids>
    <w:rsidRoot w:val="74D60645"/>
    <w:rsid w:val="00202B64"/>
    <w:rsid w:val="002A2303"/>
    <w:rsid w:val="003A60F5"/>
    <w:rsid w:val="00A573B4"/>
    <w:rsid w:val="00C04DDD"/>
    <w:rsid w:val="00C90029"/>
    <w:rsid w:val="00E348B4"/>
    <w:rsid w:val="00F6417B"/>
    <w:rsid w:val="00FC5366"/>
    <w:rsid w:val="010F7080"/>
    <w:rsid w:val="24560580"/>
    <w:rsid w:val="288E42EB"/>
    <w:rsid w:val="291C3A2B"/>
    <w:rsid w:val="2ED81174"/>
    <w:rsid w:val="3EFE4153"/>
    <w:rsid w:val="56AA2B4A"/>
    <w:rsid w:val="63CA2926"/>
    <w:rsid w:val="6EDF56FB"/>
    <w:rsid w:val="74D60645"/>
    <w:rsid w:val="7876557E"/>
    <w:rsid w:val="7B6C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djustRightInd w:val="0"/>
      <w:spacing w:line="520" w:lineRule="exact"/>
      <w:ind w:firstLine="210"/>
      <w:textAlignment w:val="baseline"/>
    </w:pPr>
    <w:rPr>
      <w:rFonts w:ascii="黑体" w:hAnsi="Arial" w:eastAsia="黑体"/>
    </w:rPr>
  </w:style>
  <w:style w:type="paragraph" w:styleId="3">
    <w:name w:val="Body Text Indent"/>
    <w:basedOn w:val="1"/>
    <w:qFormat/>
    <w:uiPriority w:val="0"/>
    <w:pPr>
      <w:ind w:firstLine="564"/>
    </w:pPr>
    <w:rPr>
      <w:rFonts w:ascii="楷体_GB2312" w:eastAsia="楷体_GB2312"/>
      <w:sz w:val="2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352</Words>
  <Characters>454</Characters>
  <Lines>4</Lines>
  <Paragraphs>1</Paragraphs>
  <TotalTime>2</TotalTime>
  <ScaleCrop>false</ScaleCrop>
  <LinksUpToDate>false</LinksUpToDate>
  <CharactersWithSpaces>526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2022-09-05T04:18:00Z</dcterms:created>
  <dc:creator>日光晴</dc:creator>
  <cp:lastModifiedBy>星空</cp:lastModifiedBy>
  <cp:lastPrinted>2020-04-23T08:31:00Z</cp:lastPrinted>
  <dcterms:modified xsi:type="dcterms:W3CDTF">2023-02-13T02:09:05Z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62102847E91E4ECA9686D79BB64FBC8B</vt:lpwstr>
  </property>
</Properties>
</file>