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91DEF" w14:textId="414CF5B4" w:rsidR="00AD3B71" w:rsidRPr="00AD3B71" w:rsidRDefault="00AD3B71" w:rsidP="00AD3B71">
      <w:pPr>
        <w:jc w:val="center"/>
        <w:rPr>
          <w:rFonts w:ascii="仿宋" w:eastAsia="仿宋" w:hAnsi="仿宋"/>
          <w:sz w:val="28"/>
          <w:szCs w:val="28"/>
        </w:rPr>
      </w:pPr>
      <w:r w:rsidRPr="00AD3B71">
        <w:rPr>
          <w:rFonts w:ascii="仿宋" w:eastAsia="仿宋" w:hAnsi="仿宋" w:hint="eastAsia"/>
          <w:sz w:val="28"/>
          <w:szCs w:val="28"/>
        </w:rPr>
        <w:t>商务要求</w:t>
      </w:r>
    </w:p>
    <w:p w14:paraId="469E1F22"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（本项目商务要求为不允许负偏离的实质性要求和条件）</w:t>
      </w:r>
      <w:r w:rsidRPr="00AD3B71">
        <w:rPr>
          <w:rFonts w:ascii="仿宋" w:eastAsia="仿宋" w:hAnsi="仿宋"/>
          <w:sz w:val="28"/>
          <w:szCs w:val="28"/>
        </w:rPr>
        <w:t xml:space="preserve"> </w:t>
      </w:r>
    </w:p>
    <w:p w14:paraId="3B1D35DE"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1、所有货物（包括零部件）须为全新的、未使用过的原装正品。提交货物（含相关服务）的技术参数和配置应与招标文件的要求及其 投标文件的技术要求偏离表（如果被评委会接受的话）相一致。若招 标文件及投标文件中无相应说明，则以国家有关部门最新颁布的相应 标准及规范为准。 </w:t>
      </w:r>
    </w:p>
    <w:p w14:paraId="6AA8494E"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2、所投医疗器械必须符合《医疗器械监督管理条例》等国家相关强制性要求。 </w:t>
      </w:r>
    </w:p>
    <w:p w14:paraId="5511365D" w14:textId="42A90359" w:rsidR="00AD3B71" w:rsidRPr="00AD3B71" w:rsidRDefault="00AD3B71" w:rsidP="00AD3B71">
      <w:pPr>
        <w:rPr>
          <w:rFonts w:ascii="仿宋" w:eastAsia="仿宋" w:hAnsi="仿宋"/>
          <w:sz w:val="28"/>
          <w:szCs w:val="28"/>
        </w:rPr>
      </w:pPr>
      <w:r w:rsidRPr="00AD3B71">
        <w:rPr>
          <w:rFonts w:ascii="仿宋" w:eastAsia="仿宋" w:hAnsi="仿宋"/>
          <w:sz w:val="28"/>
          <w:szCs w:val="28"/>
        </w:rPr>
        <w:t>2.1</w:t>
      </w:r>
      <w:r w:rsidRPr="00AD3B71">
        <w:rPr>
          <w:rFonts w:ascii="仿宋" w:eastAsia="仿宋" w:hAnsi="仿宋"/>
          <w:sz w:val="28"/>
          <w:szCs w:val="28"/>
        </w:rPr>
        <w:tab/>
        <w:t>投标人须在投标文件中提供所投</w:t>
      </w:r>
      <w:r w:rsidR="003949EE">
        <w:rPr>
          <w:rFonts w:ascii="仿宋" w:eastAsia="仿宋" w:hAnsi="仿宋"/>
          <w:sz w:val="28"/>
          <w:szCs w:val="28"/>
        </w:rPr>
        <w:t>流透明胶</w:t>
      </w:r>
      <w:r w:rsidRPr="00AD3B71">
        <w:rPr>
          <w:rFonts w:ascii="仿宋" w:eastAsia="仿宋" w:hAnsi="仿宋"/>
          <w:sz w:val="28"/>
          <w:szCs w:val="28"/>
        </w:rPr>
        <w:t xml:space="preserve">符合以下条件之一的相应材料，否则视为商务要求未完全响应： </w:t>
      </w:r>
    </w:p>
    <w:p w14:paraId="105F5F63"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w:t>
      </w:r>
      <w:r w:rsidRPr="00AD3B71">
        <w:rPr>
          <w:rFonts w:ascii="仿宋" w:eastAsia="仿宋" w:hAnsi="仿宋"/>
          <w:sz w:val="28"/>
          <w:szCs w:val="28"/>
        </w:rPr>
        <w:t>1）</w:t>
      </w:r>
      <w:r w:rsidRPr="00AD3B71">
        <w:rPr>
          <w:rFonts w:ascii="仿宋" w:eastAsia="仿宋" w:hAnsi="仿宋"/>
          <w:sz w:val="28"/>
          <w:szCs w:val="28"/>
        </w:rPr>
        <w:tab/>
        <w:t xml:space="preserve">条件一：所投产品为第二、三类医疗器械的，提供所投医疗器械的医疗器械注册证扫描件（在有效期内）； </w:t>
      </w:r>
    </w:p>
    <w:p w14:paraId="2F14CB6C" w14:textId="3C5E880C"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w:t>
      </w:r>
      <w:r w:rsidRPr="00AD3B71">
        <w:rPr>
          <w:rFonts w:ascii="仿宋" w:eastAsia="仿宋" w:hAnsi="仿宋"/>
          <w:sz w:val="28"/>
          <w:szCs w:val="28"/>
        </w:rPr>
        <w:t>2）</w:t>
      </w:r>
      <w:r w:rsidRPr="00AD3B71">
        <w:rPr>
          <w:rFonts w:ascii="仿宋" w:eastAsia="仿宋" w:hAnsi="仿宋"/>
          <w:sz w:val="28"/>
          <w:szCs w:val="28"/>
        </w:rPr>
        <w:tab/>
        <w:t>条件二：所投产品为第一类医疗器械的，提供所投医疗器械的第一类医疗器械备案凭证扫描件和第一类医疗器械备案信息证</w:t>
      </w:r>
      <w:r w:rsidRPr="00AD3B71">
        <w:rPr>
          <w:rFonts w:ascii="仿宋" w:eastAsia="仿宋" w:hAnsi="仿宋" w:hint="eastAsia"/>
          <w:sz w:val="28"/>
          <w:szCs w:val="28"/>
        </w:rPr>
        <w:t>明材料扫描件。</w:t>
      </w:r>
      <w:r w:rsidRPr="00AD3B71">
        <w:rPr>
          <w:rFonts w:ascii="仿宋" w:eastAsia="仿宋" w:hAnsi="仿宋"/>
          <w:sz w:val="28"/>
          <w:szCs w:val="28"/>
        </w:rPr>
        <w:t xml:space="preserve"> </w:t>
      </w:r>
    </w:p>
    <w:p w14:paraId="4BCCBDBC"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2.2</w:t>
      </w:r>
      <w:r w:rsidRPr="00AD3B71">
        <w:rPr>
          <w:rFonts w:ascii="仿宋" w:eastAsia="仿宋" w:hAnsi="仿宋"/>
          <w:sz w:val="28"/>
          <w:szCs w:val="28"/>
        </w:rPr>
        <w:tab/>
        <w:t xml:space="preserve">合同签订之后，供货前，中标人须向采购人提供所投其他医疗器械符合以下条件之一的相应材料，否则采购人有权解除合同： </w:t>
      </w:r>
    </w:p>
    <w:p w14:paraId="0897A46D"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w:t>
      </w:r>
      <w:r w:rsidRPr="00AD3B71">
        <w:rPr>
          <w:rFonts w:ascii="仿宋" w:eastAsia="仿宋" w:hAnsi="仿宋"/>
          <w:sz w:val="28"/>
          <w:szCs w:val="28"/>
        </w:rPr>
        <w:t>1）</w:t>
      </w:r>
      <w:r w:rsidRPr="00AD3B71">
        <w:rPr>
          <w:rFonts w:ascii="仿宋" w:eastAsia="仿宋" w:hAnsi="仿宋"/>
          <w:sz w:val="28"/>
          <w:szCs w:val="28"/>
        </w:rPr>
        <w:tab/>
        <w:t xml:space="preserve">条件一：所投产品为第二、三类医疗器械的，提供所投医疗器械的医疗器械注册证扫描件（在有效期内）； </w:t>
      </w:r>
    </w:p>
    <w:p w14:paraId="3C8B95E1"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w:t>
      </w:r>
      <w:r w:rsidRPr="00AD3B71">
        <w:rPr>
          <w:rFonts w:ascii="仿宋" w:eastAsia="仿宋" w:hAnsi="仿宋"/>
          <w:sz w:val="28"/>
          <w:szCs w:val="28"/>
        </w:rPr>
        <w:t>2）</w:t>
      </w:r>
      <w:r w:rsidRPr="00AD3B71">
        <w:rPr>
          <w:rFonts w:ascii="仿宋" w:eastAsia="仿宋" w:hAnsi="仿宋"/>
          <w:sz w:val="28"/>
          <w:szCs w:val="28"/>
        </w:rPr>
        <w:tab/>
        <w:t>条件二：所投产品为第一类医疗器械的，提供所投医疗器械的第一类医疗器械备案凭证扫描件和第一类医疗器械备案信息证明</w:t>
      </w:r>
      <w:r w:rsidRPr="00AD3B71">
        <w:rPr>
          <w:rFonts w:ascii="仿宋" w:eastAsia="仿宋" w:hAnsi="仿宋"/>
          <w:sz w:val="28"/>
          <w:szCs w:val="28"/>
        </w:rPr>
        <w:lastRenderedPageBreak/>
        <w:t xml:space="preserve">材料扫描件。 </w:t>
      </w:r>
    </w:p>
    <w:p w14:paraId="5201BFFD"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3、技术支持 </w:t>
      </w:r>
    </w:p>
    <w:p w14:paraId="282F324A" w14:textId="32E0464D" w:rsidR="00AD3B71" w:rsidRPr="00AD3B71" w:rsidRDefault="00AD3B71" w:rsidP="00AD3B71">
      <w:pPr>
        <w:rPr>
          <w:rFonts w:ascii="仿宋" w:eastAsia="仿宋" w:hAnsi="仿宋"/>
          <w:sz w:val="28"/>
          <w:szCs w:val="28"/>
        </w:rPr>
      </w:pPr>
      <w:r w:rsidRPr="00AD3B71">
        <w:rPr>
          <w:rFonts w:ascii="仿宋" w:eastAsia="仿宋" w:hAnsi="仿宋"/>
          <w:sz w:val="28"/>
          <w:szCs w:val="28"/>
        </w:rPr>
        <w:t>3.1</w:t>
      </w:r>
      <w:r w:rsidRPr="00AD3B71">
        <w:rPr>
          <w:rFonts w:ascii="仿宋" w:eastAsia="仿宋" w:hAnsi="仿宋"/>
          <w:sz w:val="28"/>
          <w:szCs w:val="28"/>
        </w:rPr>
        <w:tab/>
        <w:t>中标人应向采购人提供全方位及时而有效的技术支持和</w:t>
      </w:r>
      <w:r w:rsidR="003949EE">
        <w:rPr>
          <w:rFonts w:ascii="仿宋" w:eastAsia="仿宋" w:hAnsi="仿宋" w:hint="eastAsia"/>
          <w:sz w:val="28"/>
          <w:szCs w:val="28"/>
        </w:rPr>
        <w:t>服</w:t>
      </w:r>
      <w:r w:rsidRPr="00AD3B71">
        <w:rPr>
          <w:rFonts w:ascii="仿宋" w:eastAsia="仿宋" w:hAnsi="仿宋"/>
          <w:sz w:val="28"/>
          <w:szCs w:val="28"/>
        </w:rPr>
        <w:t xml:space="preserve">务。 </w:t>
      </w:r>
    </w:p>
    <w:p w14:paraId="05ACAD76"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3.2</w:t>
      </w:r>
      <w:r w:rsidRPr="00AD3B71">
        <w:rPr>
          <w:rFonts w:ascii="仿宋" w:eastAsia="仿宋" w:hAnsi="仿宋"/>
          <w:sz w:val="28"/>
          <w:szCs w:val="28"/>
        </w:rPr>
        <w:tab/>
        <w:t>中标人负责供货完毕。</w:t>
      </w:r>
    </w:p>
    <w:p w14:paraId="35A91182" w14:textId="4C872F6E"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4、产品有效期： </w:t>
      </w:r>
    </w:p>
    <w:p w14:paraId="32116CCA"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4.1</w:t>
      </w:r>
      <w:r w:rsidRPr="00AD3B71">
        <w:rPr>
          <w:rFonts w:ascii="仿宋" w:eastAsia="仿宋" w:hAnsi="仿宋"/>
          <w:sz w:val="28"/>
          <w:szCs w:val="28"/>
        </w:rPr>
        <w:tab/>
        <w:t xml:space="preserve">中标人交货时所供货物距离产品有效期到期的时间不得少于 18 个月。 </w:t>
      </w:r>
    </w:p>
    <w:p w14:paraId="61873C93"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4.2</w:t>
      </w:r>
      <w:r w:rsidRPr="00AD3B71">
        <w:rPr>
          <w:rFonts w:ascii="仿宋" w:eastAsia="仿宋" w:hAnsi="仿宋"/>
          <w:sz w:val="28"/>
          <w:szCs w:val="28"/>
        </w:rPr>
        <w:tab/>
        <w:t xml:space="preserve">中标人须设有维修服务电话，负责解答用户在货物使用中遇到的问题，及时提出解决问题的建议和操作方法。 </w:t>
      </w:r>
    </w:p>
    <w:p w14:paraId="1C2BC047"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5、培训： </w:t>
      </w:r>
    </w:p>
    <w:p w14:paraId="557C1458"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5.1</w:t>
      </w:r>
      <w:r w:rsidRPr="00AD3B71">
        <w:rPr>
          <w:rFonts w:ascii="仿宋" w:eastAsia="仿宋" w:hAnsi="仿宋"/>
          <w:sz w:val="28"/>
          <w:szCs w:val="28"/>
        </w:rPr>
        <w:tab/>
        <w:t xml:space="preserve">中标人应对采购人的操作人员提供现场培训。 </w:t>
      </w:r>
    </w:p>
    <w:p w14:paraId="142568C9"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5.2</w:t>
      </w:r>
      <w:r w:rsidRPr="00AD3B71">
        <w:rPr>
          <w:rFonts w:ascii="仿宋" w:eastAsia="仿宋" w:hAnsi="仿宋"/>
          <w:sz w:val="28"/>
          <w:szCs w:val="28"/>
        </w:rPr>
        <w:tab/>
        <w:t xml:space="preserve">现场培训能够根据采购人需要，合理安排。 </w:t>
      </w:r>
    </w:p>
    <w:p w14:paraId="7A31A14F"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5.3</w:t>
      </w:r>
      <w:r w:rsidRPr="00AD3B71">
        <w:rPr>
          <w:rFonts w:ascii="仿宋" w:eastAsia="仿宋" w:hAnsi="仿宋"/>
          <w:sz w:val="28"/>
          <w:szCs w:val="28"/>
        </w:rPr>
        <w:tab/>
        <w:t xml:space="preserve">培训费用包含在总投标价中。 </w:t>
      </w:r>
    </w:p>
    <w:p w14:paraId="5D06600A"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6、供货期：本项目分批次进行交货，自合同签订后，接采购人通知之时起 48 小时内按采购人需求送达指定地点并开具本批次发票。 </w:t>
      </w:r>
    </w:p>
    <w:p w14:paraId="589F41B6"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7、供货地点：马鞍山市人民医院（采购人指定地点）。 </w:t>
      </w:r>
    </w:p>
    <w:p w14:paraId="70A8DA66"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8、验收： </w:t>
      </w:r>
    </w:p>
    <w:p w14:paraId="2A6E2FC6" w14:textId="3CBC259D" w:rsidR="00AD3B71" w:rsidRPr="00AD3B71" w:rsidRDefault="00AD3B71" w:rsidP="00AD3B71">
      <w:pPr>
        <w:rPr>
          <w:rFonts w:ascii="仿宋" w:eastAsia="仿宋" w:hAnsi="仿宋"/>
          <w:sz w:val="28"/>
          <w:szCs w:val="28"/>
        </w:rPr>
      </w:pPr>
      <w:r w:rsidRPr="00AD3B71">
        <w:rPr>
          <w:rFonts w:ascii="仿宋" w:eastAsia="仿宋" w:hAnsi="仿宋"/>
          <w:sz w:val="28"/>
          <w:szCs w:val="28"/>
        </w:rPr>
        <w:t>8.1</w:t>
      </w:r>
      <w:r w:rsidRPr="00AD3B71">
        <w:rPr>
          <w:rFonts w:ascii="仿宋" w:eastAsia="仿宋" w:hAnsi="仿宋"/>
          <w:sz w:val="28"/>
          <w:szCs w:val="28"/>
        </w:rPr>
        <w:tab/>
        <w:t>采购人和相关部门按照招标文件和投标文件承诺进行验收。</w:t>
      </w:r>
      <w:r w:rsidRPr="00AD3B71">
        <w:rPr>
          <w:rFonts w:ascii="仿宋" w:eastAsia="仿宋" w:hAnsi="仿宋" w:hint="eastAsia"/>
          <w:sz w:val="28"/>
          <w:szCs w:val="28"/>
        </w:rPr>
        <w:t>招标文件没有规定和投标文件没有相应承诺的，按照下列原则进行验收：有国家标准的按照国家标准验收，没有国家标准的按行业标准验收，无行业标准的按地方或企业标准验收，中标人予以配合。</w:t>
      </w:r>
      <w:r w:rsidRPr="00AD3B71">
        <w:rPr>
          <w:rFonts w:ascii="仿宋" w:eastAsia="仿宋" w:hAnsi="仿宋" w:hint="eastAsia"/>
          <w:sz w:val="28"/>
          <w:szCs w:val="28"/>
        </w:rPr>
        <w:lastRenderedPageBreak/>
        <w:t>涉及需要由质检或行业主管部门验收的项目，采购人须约请相关部门和专家参加项目验收。所有需要质检部门进行检测才能使用的设备，总投标价中必须包含首次检测费用。</w:t>
      </w:r>
      <w:r w:rsidRPr="00AD3B71">
        <w:rPr>
          <w:rFonts w:ascii="仿宋" w:eastAsia="仿宋" w:hAnsi="仿宋"/>
          <w:sz w:val="28"/>
          <w:szCs w:val="28"/>
        </w:rPr>
        <w:t xml:space="preserve"> </w:t>
      </w:r>
    </w:p>
    <w:p w14:paraId="602B95FF"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8.2</w:t>
      </w:r>
      <w:r w:rsidRPr="00AD3B71">
        <w:rPr>
          <w:rFonts w:ascii="仿宋" w:eastAsia="仿宋" w:hAnsi="仿宋"/>
          <w:sz w:val="28"/>
          <w:szCs w:val="28"/>
        </w:rPr>
        <w:tab/>
        <w:t xml:space="preserve">货物在验收时，投标人应提供发票、制造厂家出具的产品合格证书、装箱清单等,涉及进口的部件须提供中国海关进口货物报关 单、完税证明及商检证明等材料；提供有关货物的保养修理所需的各 种随机工具及全部有关技术文件（外文应提供中文翻译资料，下同）、操作使用说明书、质保书、保修证明、维护手册及技术性指导资料以 及根据中国相关法律规定制造、销售报价货物（包括主要部件和材料） 所必备的各种证书(如产品质量检验报告、国家相关检测机构出具的 检验报告等）等文件汇集成册交付采购人和应由中标人提供的必要文 件。 </w:t>
      </w:r>
    </w:p>
    <w:p w14:paraId="03263407"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8.3</w:t>
      </w:r>
      <w:r w:rsidRPr="00AD3B71">
        <w:rPr>
          <w:rFonts w:ascii="仿宋" w:eastAsia="仿宋" w:hAnsi="仿宋"/>
          <w:sz w:val="28"/>
          <w:szCs w:val="28"/>
        </w:rPr>
        <w:tab/>
        <w:t>对货物进行全面的验收，对验收中暴露出来的问题，中标人</w:t>
      </w:r>
    </w:p>
    <w:p w14:paraId="6BA6A298"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应及时进行整改，最终验收合格后，采购人向中标人签发最终验收证明。</w:t>
      </w:r>
      <w:r w:rsidRPr="00AD3B71">
        <w:rPr>
          <w:rFonts w:ascii="仿宋" w:eastAsia="仿宋" w:hAnsi="仿宋"/>
          <w:sz w:val="28"/>
          <w:szCs w:val="28"/>
        </w:rPr>
        <w:t xml:space="preserve"> </w:t>
      </w:r>
    </w:p>
    <w:p w14:paraId="72B887F2"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8.4</w:t>
      </w:r>
      <w:r w:rsidRPr="00AD3B71">
        <w:rPr>
          <w:rFonts w:ascii="仿宋" w:eastAsia="仿宋" w:hAnsi="仿宋"/>
          <w:sz w:val="28"/>
          <w:szCs w:val="28"/>
        </w:rPr>
        <w:tab/>
        <w:t xml:space="preserve">本次项目采购所涉及的商品包装和快递包装要求均应符合“关于印发《商品包装政府采购需求标准（试行）》、《快递包装政府采购需求标准（试行）》的通知”（财办库【2020】123 号）文件要求，必要时由采购人在履约验收环节根据实际情况要求中标人出具检测报告。 </w:t>
      </w:r>
    </w:p>
    <w:p w14:paraId="2C4440E2" w14:textId="51DDC5F7" w:rsidR="00AD3B71" w:rsidRPr="00AD3B71" w:rsidRDefault="00AD3B71" w:rsidP="00AD3B71">
      <w:pPr>
        <w:rPr>
          <w:rFonts w:ascii="仿宋" w:eastAsia="仿宋" w:hAnsi="仿宋"/>
          <w:sz w:val="28"/>
          <w:szCs w:val="28"/>
        </w:rPr>
      </w:pPr>
      <w:r w:rsidRPr="00AD3B71">
        <w:rPr>
          <w:rFonts w:ascii="仿宋" w:eastAsia="仿宋" w:hAnsi="仿宋"/>
          <w:sz w:val="28"/>
          <w:szCs w:val="28"/>
        </w:rPr>
        <w:t>8.5</w:t>
      </w:r>
      <w:r w:rsidRPr="00AD3B71">
        <w:rPr>
          <w:rFonts w:ascii="仿宋" w:eastAsia="仿宋" w:hAnsi="仿宋"/>
          <w:sz w:val="28"/>
          <w:szCs w:val="28"/>
        </w:rPr>
        <w:tab/>
        <w:t>中标人在一个季度内所供货物不良率超过（含）3</w:t>
      </w:r>
      <w:r w:rsidR="003949EE">
        <w:rPr>
          <w:rFonts w:asciiTheme="minorEastAsia" w:eastAsiaTheme="minorEastAsia" w:hAnsiTheme="minorEastAsia" w:cs="MS Gothic" w:hint="eastAsia"/>
          <w:sz w:val="28"/>
          <w:szCs w:val="28"/>
        </w:rPr>
        <w:t>‰</w:t>
      </w:r>
      <w:r w:rsidRPr="00AD3B71">
        <w:rPr>
          <w:rFonts w:ascii="仿宋" w:eastAsia="仿宋" w:hAnsi="仿宋"/>
          <w:sz w:val="28"/>
          <w:szCs w:val="28"/>
        </w:rPr>
        <w:t xml:space="preserve">的，采购人有权解除合同，中标人不得因此要求赔偿。 </w:t>
      </w:r>
    </w:p>
    <w:p w14:paraId="5179DC37" w14:textId="407AC9AA" w:rsidR="00AD3B71" w:rsidRPr="00AD3B71" w:rsidRDefault="00AD3B71" w:rsidP="00AD3B71">
      <w:pPr>
        <w:rPr>
          <w:rFonts w:ascii="仿宋" w:eastAsia="仿宋" w:hAnsi="仿宋"/>
          <w:sz w:val="28"/>
          <w:szCs w:val="28"/>
        </w:rPr>
      </w:pPr>
      <w:r w:rsidRPr="00AD3B71">
        <w:rPr>
          <w:rFonts w:ascii="仿宋" w:eastAsia="仿宋" w:hAnsi="仿宋"/>
          <w:sz w:val="28"/>
          <w:szCs w:val="28"/>
        </w:rPr>
        <w:lastRenderedPageBreak/>
        <w:t xml:space="preserve">9、付款方式：按货物供应批次进行付款，每批次货物经验收合格之日起 13 个月内支付该批次采购量的合同款。 </w:t>
      </w:r>
    </w:p>
    <w:p w14:paraId="377B9E3D" w14:textId="77777777" w:rsidR="00AD3B71" w:rsidRPr="00AD3B71" w:rsidRDefault="00AD3B71" w:rsidP="00AD3B71">
      <w:pPr>
        <w:rPr>
          <w:rFonts w:ascii="仿宋" w:eastAsia="仿宋" w:hAnsi="仿宋"/>
          <w:sz w:val="28"/>
          <w:szCs w:val="28"/>
        </w:rPr>
      </w:pPr>
      <w:r w:rsidRPr="00AD3B71">
        <w:rPr>
          <w:rFonts w:ascii="仿宋" w:eastAsia="仿宋" w:hAnsi="仿宋"/>
          <w:b/>
          <w:spacing w:val="7"/>
          <w:sz w:val="28"/>
          <w:szCs w:val="28"/>
        </w:rPr>
        <w:t>1</w:t>
      </w:r>
      <w:r w:rsidRPr="00AD3B71">
        <w:rPr>
          <w:rFonts w:ascii="仿宋" w:eastAsia="仿宋" w:hAnsi="仿宋" w:hint="eastAsia"/>
          <w:sz w:val="28"/>
          <w:szCs w:val="28"/>
        </w:rPr>
        <w:t>0、若本项目中标货物与国家、安徽省相关文件冲突（如省集采平台将本项目货物纳入集中采购目录或带量采购目录中），采购人可单方面解除合同，中标人不得因此要求赔偿。</w:t>
      </w:r>
    </w:p>
    <w:p w14:paraId="326755A2"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11、本项目总投标价包含了交付使用前的全部费用，包括货物购 置费、人工费、交通费、食宿费、管理费、运输费、保险费、培训费、验收费、采购代理服务费、其他费用（如包装费、仓储费、保管费、资料费、以及完成本项目所需要的其他费用）及所有价内价外税金及 合理利润。</w:t>
      </w:r>
    </w:p>
    <w:p w14:paraId="240AE54E" w14:textId="77777777" w:rsidR="0005082B" w:rsidRPr="00AD3B71" w:rsidRDefault="0005082B" w:rsidP="00AD3B71">
      <w:pPr>
        <w:rPr>
          <w:rFonts w:ascii="仿宋" w:eastAsia="仿宋" w:hAnsi="仿宋"/>
          <w:sz w:val="28"/>
          <w:szCs w:val="28"/>
        </w:rPr>
      </w:pPr>
    </w:p>
    <w:sectPr w:rsidR="0005082B" w:rsidRPr="00AD3B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1B0AB" w14:textId="77777777" w:rsidR="0041564C" w:rsidRDefault="0041564C" w:rsidP="00AD3B71">
      <w:r>
        <w:separator/>
      </w:r>
    </w:p>
  </w:endnote>
  <w:endnote w:type="continuationSeparator" w:id="0">
    <w:p w14:paraId="1B41B82F" w14:textId="77777777" w:rsidR="0041564C" w:rsidRDefault="0041564C" w:rsidP="00AD3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EEC418" w14:textId="77777777" w:rsidR="0041564C" w:rsidRDefault="0041564C" w:rsidP="00AD3B71">
      <w:r>
        <w:separator/>
      </w:r>
    </w:p>
  </w:footnote>
  <w:footnote w:type="continuationSeparator" w:id="0">
    <w:p w14:paraId="13A9114D" w14:textId="77777777" w:rsidR="0041564C" w:rsidRDefault="0041564C" w:rsidP="00AD3B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B48D5"/>
    <w:multiLevelType w:val="multilevel"/>
    <w:tmpl w:val="A9F6E406"/>
    <w:lvl w:ilvl="0">
      <w:start w:val="4"/>
      <w:numFmt w:val="decimal"/>
      <w:lvlText w:val="%1"/>
      <w:lvlJc w:val="left"/>
      <w:pPr>
        <w:ind w:left="222" w:hanging="586"/>
      </w:pPr>
      <w:rPr>
        <w:rFonts w:ascii="Times New Roman" w:hAnsi="Times New Roman" w:cs="Times New Roman" w:hint="default"/>
      </w:rPr>
    </w:lvl>
    <w:lvl w:ilvl="1">
      <w:start w:val="1"/>
      <w:numFmt w:val="decimal"/>
      <w:lvlText w:val="%1.%2"/>
      <w:lvlJc w:val="left"/>
      <w:pPr>
        <w:ind w:left="222" w:hanging="586"/>
      </w:pPr>
      <w:rPr>
        <w:rFonts w:ascii="Times New Roman" w:hAnsi="Times New Roman" w:cs="Times New Roman" w:hint="default"/>
        <w:b/>
        <w:bCs/>
        <w:spacing w:val="-8"/>
      </w:rPr>
    </w:lvl>
    <w:lvl w:ilvl="2">
      <w:numFmt w:val="bullet"/>
      <w:lvlText w:val="•"/>
      <w:lvlJc w:val="left"/>
      <w:pPr>
        <w:ind w:left="1958" w:hanging="586"/>
      </w:pPr>
      <w:rPr>
        <w:rFonts w:ascii="Times New Roman" w:hAnsi="Times New Roman" w:cs="Times New Roman" w:hint="default"/>
      </w:rPr>
    </w:lvl>
    <w:lvl w:ilvl="3">
      <w:numFmt w:val="bullet"/>
      <w:lvlText w:val="•"/>
      <w:lvlJc w:val="left"/>
      <w:pPr>
        <w:ind w:left="2827" w:hanging="586"/>
      </w:pPr>
      <w:rPr>
        <w:rFonts w:ascii="Times New Roman" w:hAnsi="Times New Roman" w:cs="Times New Roman" w:hint="default"/>
      </w:rPr>
    </w:lvl>
    <w:lvl w:ilvl="4">
      <w:numFmt w:val="bullet"/>
      <w:lvlText w:val="•"/>
      <w:lvlJc w:val="left"/>
      <w:pPr>
        <w:ind w:left="3696" w:hanging="586"/>
      </w:pPr>
      <w:rPr>
        <w:rFonts w:ascii="Times New Roman" w:hAnsi="Times New Roman" w:cs="Times New Roman" w:hint="default"/>
      </w:rPr>
    </w:lvl>
    <w:lvl w:ilvl="5">
      <w:numFmt w:val="bullet"/>
      <w:lvlText w:val="•"/>
      <w:lvlJc w:val="left"/>
      <w:pPr>
        <w:ind w:left="4565" w:hanging="586"/>
      </w:pPr>
      <w:rPr>
        <w:rFonts w:ascii="Times New Roman" w:hAnsi="Times New Roman" w:cs="Times New Roman" w:hint="default"/>
      </w:rPr>
    </w:lvl>
    <w:lvl w:ilvl="6">
      <w:numFmt w:val="bullet"/>
      <w:lvlText w:val="•"/>
      <w:lvlJc w:val="left"/>
      <w:pPr>
        <w:ind w:left="5434" w:hanging="586"/>
      </w:pPr>
      <w:rPr>
        <w:rFonts w:ascii="Times New Roman" w:hAnsi="Times New Roman" w:cs="Times New Roman" w:hint="default"/>
      </w:rPr>
    </w:lvl>
    <w:lvl w:ilvl="7">
      <w:numFmt w:val="bullet"/>
      <w:lvlText w:val="•"/>
      <w:lvlJc w:val="left"/>
      <w:pPr>
        <w:ind w:left="6303" w:hanging="586"/>
      </w:pPr>
      <w:rPr>
        <w:rFonts w:ascii="Times New Roman" w:hAnsi="Times New Roman" w:cs="Times New Roman" w:hint="default"/>
      </w:rPr>
    </w:lvl>
    <w:lvl w:ilvl="8">
      <w:numFmt w:val="bullet"/>
      <w:lvlText w:val="•"/>
      <w:lvlJc w:val="left"/>
      <w:pPr>
        <w:ind w:left="7172" w:hanging="586"/>
      </w:pPr>
      <w:rPr>
        <w:rFonts w:ascii="Times New Roman" w:hAnsi="Times New Roman" w:cs="Times New Roman" w:hint="default"/>
      </w:rPr>
    </w:lvl>
  </w:abstractNum>
  <w:abstractNum w:abstractNumId="1" w15:restartNumberingAfterBreak="0">
    <w:nsid w:val="0E310F3E"/>
    <w:multiLevelType w:val="multilevel"/>
    <w:tmpl w:val="D6564E18"/>
    <w:lvl w:ilvl="0">
      <w:start w:val="3"/>
      <w:numFmt w:val="decimal"/>
      <w:lvlText w:val="%1"/>
      <w:lvlJc w:val="left"/>
      <w:pPr>
        <w:ind w:left="222" w:hanging="571"/>
      </w:pPr>
      <w:rPr>
        <w:rFonts w:ascii="Times New Roman" w:hAnsi="Times New Roman" w:cs="Times New Roman" w:hint="default"/>
      </w:rPr>
    </w:lvl>
    <w:lvl w:ilvl="1">
      <w:start w:val="1"/>
      <w:numFmt w:val="decimal"/>
      <w:lvlText w:val="%1.%2"/>
      <w:lvlJc w:val="left"/>
      <w:pPr>
        <w:ind w:left="222" w:hanging="571"/>
      </w:pPr>
      <w:rPr>
        <w:rFonts w:ascii="宋体" w:eastAsia="宋体" w:hAnsi="宋体" w:hint="eastAsia"/>
        <w:spacing w:val="-8"/>
        <w:sz w:val="28"/>
        <w:szCs w:val="28"/>
      </w:rPr>
    </w:lvl>
    <w:lvl w:ilvl="2">
      <w:numFmt w:val="bullet"/>
      <w:lvlText w:val="•"/>
      <w:lvlJc w:val="left"/>
      <w:pPr>
        <w:ind w:left="1958" w:hanging="571"/>
      </w:pPr>
      <w:rPr>
        <w:rFonts w:ascii="Times New Roman" w:hAnsi="Times New Roman" w:cs="Times New Roman" w:hint="default"/>
      </w:rPr>
    </w:lvl>
    <w:lvl w:ilvl="3">
      <w:numFmt w:val="bullet"/>
      <w:lvlText w:val="•"/>
      <w:lvlJc w:val="left"/>
      <w:pPr>
        <w:ind w:left="2827" w:hanging="571"/>
      </w:pPr>
      <w:rPr>
        <w:rFonts w:ascii="Times New Roman" w:hAnsi="Times New Roman" w:cs="Times New Roman" w:hint="default"/>
      </w:rPr>
    </w:lvl>
    <w:lvl w:ilvl="4">
      <w:numFmt w:val="bullet"/>
      <w:lvlText w:val="•"/>
      <w:lvlJc w:val="left"/>
      <w:pPr>
        <w:ind w:left="3696" w:hanging="571"/>
      </w:pPr>
      <w:rPr>
        <w:rFonts w:ascii="Times New Roman" w:hAnsi="Times New Roman" w:cs="Times New Roman" w:hint="default"/>
      </w:rPr>
    </w:lvl>
    <w:lvl w:ilvl="5">
      <w:numFmt w:val="bullet"/>
      <w:lvlText w:val="•"/>
      <w:lvlJc w:val="left"/>
      <w:pPr>
        <w:ind w:left="4565" w:hanging="571"/>
      </w:pPr>
      <w:rPr>
        <w:rFonts w:ascii="Times New Roman" w:hAnsi="Times New Roman" w:cs="Times New Roman" w:hint="default"/>
      </w:rPr>
    </w:lvl>
    <w:lvl w:ilvl="6">
      <w:numFmt w:val="bullet"/>
      <w:lvlText w:val="•"/>
      <w:lvlJc w:val="left"/>
      <w:pPr>
        <w:ind w:left="5434" w:hanging="571"/>
      </w:pPr>
      <w:rPr>
        <w:rFonts w:ascii="Times New Roman" w:hAnsi="Times New Roman" w:cs="Times New Roman" w:hint="default"/>
      </w:rPr>
    </w:lvl>
    <w:lvl w:ilvl="7">
      <w:numFmt w:val="bullet"/>
      <w:lvlText w:val="•"/>
      <w:lvlJc w:val="left"/>
      <w:pPr>
        <w:ind w:left="6303" w:hanging="571"/>
      </w:pPr>
      <w:rPr>
        <w:rFonts w:ascii="Times New Roman" w:hAnsi="Times New Roman" w:cs="Times New Roman" w:hint="default"/>
      </w:rPr>
    </w:lvl>
    <w:lvl w:ilvl="8">
      <w:numFmt w:val="bullet"/>
      <w:lvlText w:val="•"/>
      <w:lvlJc w:val="left"/>
      <w:pPr>
        <w:ind w:left="7172" w:hanging="571"/>
      </w:pPr>
      <w:rPr>
        <w:rFonts w:ascii="Times New Roman" w:hAnsi="Times New Roman" w:cs="Times New Roman" w:hint="default"/>
      </w:rPr>
    </w:lvl>
  </w:abstractNum>
  <w:abstractNum w:abstractNumId="2" w15:restartNumberingAfterBreak="0">
    <w:nsid w:val="459A63DC"/>
    <w:multiLevelType w:val="multilevel"/>
    <w:tmpl w:val="79E495B8"/>
    <w:lvl w:ilvl="0">
      <w:start w:val="1"/>
      <w:numFmt w:val="decimal"/>
      <w:lvlText w:val="（%1）"/>
      <w:lvlJc w:val="left"/>
      <w:pPr>
        <w:ind w:left="222" w:hanging="722"/>
      </w:pPr>
      <w:rPr>
        <w:rFonts w:ascii="宋体" w:eastAsia="宋体" w:hAnsi="宋体" w:hint="eastAsia"/>
        <w:color w:val="FF0000"/>
        <w:spacing w:val="-15"/>
        <w:sz w:val="26"/>
        <w:szCs w:val="26"/>
      </w:rPr>
    </w:lvl>
    <w:lvl w:ilvl="1">
      <w:numFmt w:val="bullet"/>
      <w:lvlText w:val="•"/>
      <w:lvlJc w:val="left"/>
      <w:pPr>
        <w:ind w:left="1089" w:hanging="722"/>
      </w:pPr>
      <w:rPr>
        <w:rFonts w:ascii="Times New Roman" w:hAnsi="Times New Roman" w:cs="Times New Roman" w:hint="default"/>
      </w:rPr>
    </w:lvl>
    <w:lvl w:ilvl="2">
      <w:numFmt w:val="bullet"/>
      <w:lvlText w:val="•"/>
      <w:lvlJc w:val="left"/>
      <w:pPr>
        <w:ind w:left="1958" w:hanging="722"/>
      </w:pPr>
      <w:rPr>
        <w:rFonts w:ascii="Times New Roman" w:hAnsi="Times New Roman" w:cs="Times New Roman" w:hint="default"/>
      </w:rPr>
    </w:lvl>
    <w:lvl w:ilvl="3">
      <w:numFmt w:val="bullet"/>
      <w:lvlText w:val="•"/>
      <w:lvlJc w:val="left"/>
      <w:pPr>
        <w:ind w:left="2827" w:hanging="722"/>
      </w:pPr>
      <w:rPr>
        <w:rFonts w:ascii="Times New Roman" w:hAnsi="Times New Roman" w:cs="Times New Roman" w:hint="default"/>
      </w:rPr>
    </w:lvl>
    <w:lvl w:ilvl="4">
      <w:numFmt w:val="bullet"/>
      <w:lvlText w:val="•"/>
      <w:lvlJc w:val="left"/>
      <w:pPr>
        <w:ind w:left="3696" w:hanging="722"/>
      </w:pPr>
      <w:rPr>
        <w:rFonts w:ascii="Times New Roman" w:hAnsi="Times New Roman" w:cs="Times New Roman" w:hint="default"/>
      </w:rPr>
    </w:lvl>
    <w:lvl w:ilvl="5">
      <w:numFmt w:val="bullet"/>
      <w:lvlText w:val="•"/>
      <w:lvlJc w:val="left"/>
      <w:pPr>
        <w:ind w:left="4565" w:hanging="722"/>
      </w:pPr>
      <w:rPr>
        <w:rFonts w:ascii="Times New Roman" w:hAnsi="Times New Roman" w:cs="Times New Roman" w:hint="default"/>
      </w:rPr>
    </w:lvl>
    <w:lvl w:ilvl="6">
      <w:numFmt w:val="bullet"/>
      <w:lvlText w:val="•"/>
      <w:lvlJc w:val="left"/>
      <w:pPr>
        <w:ind w:left="5434" w:hanging="722"/>
      </w:pPr>
      <w:rPr>
        <w:rFonts w:ascii="Times New Roman" w:hAnsi="Times New Roman" w:cs="Times New Roman" w:hint="default"/>
      </w:rPr>
    </w:lvl>
    <w:lvl w:ilvl="7">
      <w:numFmt w:val="bullet"/>
      <w:lvlText w:val="•"/>
      <w:lvlJc w:val="left"/>
      <w:pPr>
        <w:ind w:left="6303" w:hanging="722"/>
      </w:pPr>
      <w:rPr>
        <w:rFonts w:ascii="Times New Roman" w:hAnsi="Times New Roman" w:cs="Times New Roman" w:hint="default"/>
      </w:rPr>
    </w:lvl>
    <w:lvl w:ilvl="8">
      <w:numFmt w:val="bullet"/>
      <w:lvlText w:val="•"/>
      <w:lvlJc w:val="left"/>
      <w:pPr>
        <w:ind w:left="7172" w:hanging="722"/>
      </w:pPr>
      <w:rPr>
        <w:rFonts w:ascii="Times New Roman" w:hAnsi="Times New Roman" w:cs="Times New Roman" w:hint="default"/>
      </w:rPr>
    </w:lvl>
  </w:abstractNum>
  <w:abstractNum w:abstractNumId="3" w15:restartNumberingAfterBreak="0">
    <w:nsid w:val="53413752"/>
    <w:multiLevelType w:val="multilevel"/>
    <w:tmpl w:val="E1DEB372"/>
    <w:lvl w:ilvl="0">
      <w:start w:val="5"/>
      <w:numFmt w:val="decimal"/>
      <w:lvlText w:val="%1"/>
      <w:lvlJc w:val="left"/>
      <w:pPr>
        <w:ind w:left="1303" w:hanging="526"/>
      </w:pPr>
      <w:rPr>
        <w:rFonts w:ascii="Times New Roman" w:hAnsi="Times New Roman" w:cs="Times New Roman" w:hint="default"/>
      </w:rPr>
    </w:lvl>
    <w:lvl w:ilvl="1">
      <w:start w:val="1"/>
      <w:numFmt w:val="decimal"/>
      <w:lvlText w:val="%1.%2"/>
      <w:lvlJc w:val="left"/>
      <w:pPr>
        <w:ind w:left="1303" w:hanging="526"/>
      </w:pPr>
      <w:rPr>
        <w:rFonts w:ascii="宋体" w:eastAsia="宋体" w:hAnsi="宋体" w:hint="eastAsia"/>
        <w:spacing w:val="0"/>
        <w:sz w:val="28"/>
        <w:szCs w:val="28"/>
      </w:rPr>
    </w:lvl>
    <w:lvl w:ilvl="2">
      <w:numFmt w:val="bullet"/>
      <w:lvlText w:val="•"/>
      <w:lvlJc w:val="left"/>
      <w:pPr>
        <w:ind w:left="2822" w:hanging="526"/>
      </w:pPr>
      <w:rPr>
        <w:rFonts w:ascii="Times New Roman" w:hAnsi="Times New Roman" w:cs="Times New Roman" w:hint="default"/>
      </w:rPr>
    </w:lvl>
    <w:lvl w:ilvl="3">
      <w:numFmt w:val="bullet"/>
      <w:lvlText w:val="•"/>
      <w:lvlJc w:val="left"/>
      <w:pPr>
        <w:ind w:left="3583" w:hanging="526"/>
      </w:pPr>
      <w:rPr>
        <w:rFonts w:ascii="Times New Roman" w:hAnsi="Times New Roman" w:cs="Times New Roman" w:hint="default"/>
      </w:rPr>
    </w:lvl>
    <w:lvl w:ilvl="4">
      <w:numFmt w:val="bullet"/>
      <w:lvlText w:val="•"/>
      <w:lvlJc w:val="left"/>
      <w:pPr>
        <w:ind w:left="4344" w:hanging="526"/>
      </w:pPr>
      <w:rPr>
        <w:rFonts w:ascii="Times New Roman" w:hAnsi="Times New Roman" w:cs="Times New Roman" w:hint="default"/>
      </w:rPr>
    </w:lvl>
    <w:lvl w:ilvl="5">
      <w:numFmt w:val="bullet"/>
      <w:lvlText w:val="•"/>
      <w:lvlJc w:val="left"/>
      <w:pPr>
        <w:ind w:left="5105" w:hanging="526"/>
      </w:pPr>
      <w:rPr>
        <w:rFonts w:ascii="Times New Roman" w:hAnsi="Times New Roman" w:cs="Times New Roman" w:hint="default"/>
      </w:rPr>
    </w:lvl>
    <w:lvl w:ilvl="6">
      <w:numFmt w:val="bullet"/>
      <w:lvlText w:val="•"/>
      <w:lvlJc w:val="left"/>
      <w:pPr>
        <w:ind w:left="5866" w:hanging="526"/>
      </w:pPr>
      <w:rPr>
        <w:rFonts w:ascii="Times New Roman" w:hAnsi="Times New Roman" w:cs="Times New Roman" w:hint="default"/>
      </w:rPr>
    </w:lvl>
    <w:lvl w:ilvl="7">
      <w:numFmt w:val="bullet"/>
      <w:lvlText w:val="•"/>
      <w:lvlJc w:val="left"/>
      <w:pPr>
        <w:ind w:left="6627" w:hanging="526"/>
      </w:pPr>
      <w:rPr>
        <w:rFonts w:ascii="Times New Roman" w:hAnsi="Times New Roman" w:cs="Times New Roman" w:hint="default"/>
      </w:rPr>
    </w:lvl>
    <w:lvl w:ilvl="8">
      <w:numFmt w:val="bullet"/>
      <w:lvlText w:val="•"/>
      <w:lvlJc w:val="left"/>
      <w:pPr>
        <w:ind w:left="7388" w:hanging="526"/>
      </w:pPr>
      <w:rPr>
        <w:rFonts w:ascii="Times New Roman" w:hAnsi="Times New Roman" w:cs="Times New Roman" w:hint="default"/>
      </w:rPr>
    </w:lvl>
  </w:abstractNum>
  <w:abstractNum w:abstractNumId="4" w15:restartNumberingAfterBreak="0">
    <w:nsid w:val="563C0549"/>
    <w:multiLevelType w:val="multilevel"/>
    <w:tmpl w:val="CBE6D108"/>
    <w:lvl w:ilvl="0">
      <w:start w:val="1"/>
      <w:numFmt w:val="decimal"/>
      <w:lvlText w:val="（%1）"/>
      <w:lvlJc w:val="left"/>
      <w:pPr>
        <w:ind w:left="222" w:hanging="722"/>
      </w:pPr>
      <w:rPr>
        <w:rFonts w:ascii="宋体" w:eastAsia="宋体" w:hAnsi="宋体" w:hint="eastAsia"/>
        <w:color w:val="FF0000"/>
        <w:spacing w:val="-15"/>
        <w:sz w:val="26"/>
        <w:szCs w:val="26"/>
      </w:rPr>
    </w:lvl>
    <w:lvl w:ilvl="1">
      <w:numFmt w:val="bullet"/>
      <w:lvlText w:val="•"/>
      <w:lvlJc w:val="left"/>
      <w:pPr>
        <w:ind w:left="1089" w:hanging="722"/>
      </w:pPr>
      <w:rPr>
        <w:rFonts w:ascii="Times New Roman" w:hAnsi="Times New Roman" w:cs="Times New Roman" w:hint="default"/>
      </w:rPr>
    </w:lvl>
    <w:lvl w:ilvl="2">
      <w:numFmt w:val="bullet"/>
      <w:lvlText w:val="•"/>
      <w:lvlJc w:val="left"/>
      <w:pPr>
        <w:ind w:left="1958" w:hanging="722"/>
      </w:pPr>
      <w:rPr>
        <w:rFonts w:ascii="Times New Roman" w:hAnsi="Times New Roman" w:cs="Times New Roman" w:hint="default"/>
      </w:rPr>
    </w:lvl>
    <w:lvl w:ilvl="3">
      <w:numFmt w:val="bullet"/>
      <w:lvlText w:val="•"/>
      <w:lvlJc w:val="left"/>
      <w:pPr>
        <w:ind w:left="2827" w:hanging="722"/>
      </w:pPr>
      <w:rPr>
        <w:rFonts w:ascii="Times New Roman" w:hAnsi="Times New Roman" w:cs="Times New Roman" w:hint="default"/>
      </w:rPr>
    </w:lvl>
    <w:lvl w:ilvl="4">
      <w:numFmt w:val="bullet"/>
      <w:lvlText w:val="•"/>
      <w:lvlJc w:val="left"/>
      <w:pPr>
        <w:ind w:left="3696" w:hanging="722"/>
      </w:pPr>
      <w:rPr>
        <w:rFonts w:ascii="Times New Roman" w:hAnsi="Times New Roman" w:cs="Times New Roman" w:hint="default"/>
      </w:rPr>
    </w:lvl>
    <w:lvl w:ilvl="5">
      <w:numFmt w:val="bullet"/>
      <w:lvlText w:val="•"/>
      <w:lvlJc w:val="left"/>
      <w:pPr>
        <w:ind w:left="4565" w:hanging="722"/>
      </w:pPr>
      <w:rPr>
        <w:rFonts w:ascii="Times New Roman" w:hAnsi="Times New Roman" w:cs="Times New Roman" w:hint="default"/>
      </w:rPr>
    </w:lvl>
    <w:lvl w:ilvl="6">
      <w:numFmt w:val="bullet"/>
      <w:lvlText w:val="•"/>
      <w:lvlJc w:val="left"/>
      <w:pPr>
        <w:ind w:left="5434" w:hanging="722"/>
      </w:pPr>
      <w:rPr>
        <w:rFonts w:ascii="Times New Roman" w:hAnsi="Times New Roman" w:cs="Times New Roman" w:hint="default"/>
      </w:rPr>
    </w:lvl>
    <w:lvl w:ilvl="7">
      <w:numFmt w:val="bullet"/>
      <w:lvlText w:val="•"/>
      <w:lvlJc w:val="left"/>
      <w:pPr>
        <w:ind w:left="6303" w:hanging="722"/>
      </w:pPr>
      <w:rPr>
        <w:rFonts w:ascii="Times New Roman" w:hAnsi="Times New Roman" w:cs="Times New Roman" w:hint="default"/>
      </w:rPr>
    </w:lvl>
    <w:lvl w:ilvl="8">
      <w:numFmt w:val="bullet"/>
      <w:lvlText w:val="•"/>
      <w:lvlJc w:val="left"/>
      <w:pPr>
        <w:ind w:left="7172" w:hanging="722"/>
      </w:pPr>
      <w:rPr>
        <w:rFonts w:ascii="Times New Roman" w:hAnsi="Times New Roman" w:cs="Times New Roman" w:hint="default"/>
      </w:rPr>
    </w:lvl>
  </w:abstractNum>
  <w:abstractNum w:abstractNumId="5" w15:restartNumberingAfterBreak="0">
    <w:nsid w:val="5E4B1BEC"/>
    <w:multiLevelType w:val="multilevel"/>
    <w:tmpl w:val="BA4A31B6"/>
    <w:lvl w:ilvl="0">
      <w:start w:val="8"/>
      <w:numFmt w:val="decimal"/>
      <w:lvlText w:val="%1"/>
      <w:lvlJc w:val="left"/>
      <w:pPr>
        <w:ind w:left="1273" w:hanging="496"/>
      </w:pPr>
      <w:rPr>
        <w:rFonts w:ascii="Times New Roman" w:hAnsi="Times New Roman" w:cs="Times New Roman" w:hint="default"/>
      </w:rPr>
    </w:lvl>
    <w:lvl w:ilvl="1">
      <w:start w:val="1"/>
      <w:numFmt w:val="decimal"/>
      <w:lvlText w:val="%1.%2"/>
      <w:lvlJc w:val="left"/>
      <w:pPr>
        <w:ind w:left="1273" w:hanging="496"/>
      </w:pPr>
      <w:rPr>
        <w:rFonts w:ascii="Times New Roman" w:hAnsi="Times New Roman" w:cs="Times New Roman" w:hint="default"/>
        <w:spacing w:val="-8"/>
      </w:rPr>
    </w:lvl>
    <w:lvl w:ilvl="2">
      <w:numFmt w:val="bullet"/>
      <w:lvlText w:val="•"/>
      <w:lvlJc w:val="left"/>
      <w:pPr>
        <w:ind w:left="2806" w:hanging="496"/>
      </w:pPr>
      <w:rPr>
        <w:rFonts w:ascii="Times New Roman" w:hAnsi="Times New Roman" w:cs="Times New Roman" w:hint="default"/>
      </w:rPr>
    </w:lvl>
    <w:lvl w:ilvl="3">
      <w:numFmt w:val="bullet"/>
      <w:lvlText w:val="•"/>
      <w:lvlJc w:val="left"/>
      <w:pPr>
        <w:ind w:left="3569" w:hanging="496"/>
      </w:pPr>
      <w:rPr>
        <w:rFonts w:ascii="Times New Roman" w:hAnsi="Times New Roman" w:cs="Times New Roman" w:hint="default"/>
      </w:rPr>
    </w:lvl>
    <w:lvl w:ilvl="4">
      <w:numFmt w:val="bullet"/>
      <w:lvlText w:val="•"/>
      <w:lvlJc w:val="left"/>
      <w:pPr>
        <w:ind w:left="4332" w:hanging="496"/>
      </w:pPr>
      <w:rPr>
        <w:rFonts w:ascii="Times New Roman" w:hAnsi="Times New Roman" w:cs="Times New Roman" w:hint="default"/>
      </w:rPr>
    </w:lvl>
    <w:lvl w:ilvl="5">
      <w:numFmt w:val="bullet"/>
      <w:lvlText w:val="•"/>
      <w:lvlJc w:val="left"/>
      <w:pPr>
        <w:ind w:left="5095" w:hanging="496"/>
      </w:pPr>
      <w:rPr>
        <w:rFonts w:ascii="Times New Roman" w:hAnsi="Times New Roman" w:cs="Times New Roman" w:hint="default"/>
      </w:rPr>
    </w:lvl>
    <w:lvl w:ilvl="6">
      <w:numFmt w:val="bullet"/>
      <w:lvlText w:val="•"/>
      <w:lvlJc w:val="left"/>
      <w:pPr>
        <w:ind w:left="5858" w:hanging="496"/>
      </w:pPr>
      <w:rPr>
        <w:rFonts w:ascii="Times New Roman" w:hAnsi="Times New Roman" w:cs="Times New Roman" w:hint="default"/>
      </w:rPr>
    </w:lvl>
    <w:lvl w:ilvl="7">
      <w:numFmt w:val="bullet"/>
      <w:lvlText w:val="•"/>
      <w:lvlJc w:val="left"/>
      <w:pPr>
        <w:ind w:left="6621" w:hanging="496"/>
      </w:pPr>
      <w:rPr>
        <w:rFonts w:ascii="Times New Roman" w:hAnsi="Times New Roman" w:cs="Times New Roman" w:hint="default"/>
      </w:rPr>
    </w:lvl>
    <w:lvl w:ilvl="8">
      <w:numFmt w:val="bullet"/>
      <w:lvlText w:val="•"/>
      <w:lvlJc w:val="left"/>
      <w:pPr>
        <w:ind w:left="7384" w:hanging="496"/>
      </w:pPr>
      <w:rPr>
        <w:rFonts w:ascii="Times New Roman" w:hAnsi="Times New Roman" w:cs="Times New Roman" w:hint="default"/>
      </w:rPr>
    </w:lvl>
  </w:abstractNum>
  <w:abstractNum w:abstractNumId="6" w15:restartNumberingAfterBreak="0">
    <w:nsid w:val="66D1329E"/>
    <w:multiLevelType w:val="multilevel"/>
    <w:tmpl w:val="308487B6"/>
    <w:lvl w:ilvl="0">
      <w:start w:val="2"/>
      <w:numFmt w:val="decimal"/>
      <w:lvlText w:val="%1."/>
      <w:lvlJc w:val="left"/>
      <w:pPr>
        <w:ind w:left="222" w:hanging="241"/>
      </w:pPr>
      <w:rPr>
        <w:rFonts w:ascii="宋体" w:eastAsia="宋体" w:hAnsi="宋体" w:hint="eastAsia"/>
        <w:spacing w:val="-1"/>
        <w:sz w:val="22"/>
        <w:szCs w:val="22"/>
      </w:rPr>
    </w:lvl>
    <w:lvl w:ilvl="1">
      <w:start w:val="1"/>
      <w:numFmt w:val="decimal"/>
      <w:lvlText w:val="%1.%2"/>
      <w:lvlJc w:val="left"/>
      <w:pPr>
        <w:ind w:left="222" w:hanging="481"/>
      </w:pPr>
      <w:rPr>
        <w:rFonts w:ascii="宋体" w:eastAsia="宋体" w:hAnsi="宋体" w:hint="eastAsia"/>
        <w:color w:val="FF0000"/>
        <w:spacing w:val="-8"/>
        <w:sz w:val="28"/>
        <w:szCs w:val="28"/>
      </w:rPr>
    </w:lvl>
    <w:lvl w:ilvl="2">
      <w:numFmt w:val="bullet"/>
      <w:lvlText w:val="•"/>
      <w:lvlJc w:val="left"/>
      <w:pPr>
        <w:ind w:left="1958" w:hanging="481"/>
      </w:pPr>
      <w:rPr>
        <w:rFonts w:ascii="Times New Roman" w:hAnsi="Times New Roman" w:cs="Times New Roman" w:hint="default"/>
      </w:rPr>
    </w:lvl>
    <w:lvl w:ilvl="3">
      <w:numFmt w:val="bullet"/>
      <w:lvlText w:val="•"/>
      <w:lvlJc w:val="left"/>
      <w:pPr>
        <w:ind w:left="2827" w:hanging="481"/>
      </w:pPr>
      <w:rPr>
        <w:rFonts w:ascii="Times New Roman" w:hAnsi="Times New Roman" w:cs="Times New Roman" w:hint="default"/>
      </w:rPr>
    </w:lvl>
    <w:lvl w:ilvl="4">
      <w:numFmt w:val="bullet"/>
      <w:lvlText w:val="•"/>
      <w:lvlJc w:val="left"/>
      <w:pPr>
        <w:ind w:left="3696" w:hanging="481"/>
      </w:pPr>
      <w:rPr>
        <w:rFonts w:ascii="Times New Roman" w:hAnsi="Times New Roman" w:cs="Times New Roman" w:hint="default"/>
      </w:rPr>
    </w:lvl>
    <w:lvl w:ilvl="5">
      <w:numFmt w:val="bullet"/>
      <w:lvlText w:val="•"/>
      <w:lvlJc w:val="left"/>
      <w:pPr>
        <w:ind w:left="4565" w:hanging="481"/>
      </w:pPr>
      <w:rPr>
        <w:rFonts w:ascii="Times New Roman" w:hAnsi="Times New Roman" w:cs="Times New Roman" w:hint="default"/>
      </w:rPr>
    </w:lvl>
    <w:lvl w:ilvl="6">
      <w:numFmt w:val="bullet"/>
      <w:lvlText w:val="•"/>
      <w:lvlJc w:val="left"/>
      <w:pPr>
        <w:ind w:left="5434" w:hanging="481"/>
      </w:pPr>
      <w:rPr>
        <w:rFonts w:ascii="Times New Roman" w:hAnsi="Times New Roman" w:cs="Times New Roman" w:hint="default"/>
      </w:rPr>
    </w:lvl>
    <w:lvl w:ilvl="7">
      <w:numFmt w:val="bullet"/>
      <w:lvlText w:val="•"/>
      <w:lvlJc w:val="left"/>
      <w:pPr>
        <w:ind w:left="6303" w:hanging="481"/>
      </w:pPr>
      <w:rPr>
        <w:rFonts w:ascii="Times New Roman" w:hAnsi="Times New Roman" w:cs="Times New Roman" w:hint="default"/>
      </w:rPr>
    </w:lvl>
    <w:lvl w:ilvl="8">
      <w:numFmt w:val="bullet"/>
      <w:lvlText w:val="•"/>
      <w:lvlJc w:val="left"/>
      <w:pPr>
        <w:ind w:left="7172" w:hanging="481"/>
      </w:pPr>
      <w:rPr>
        <w:rFonts w:ascii="Times New Roman" w:hAnsi="Times New Roman" w:cs="Times New Roman" w:hint="default"/>
      </w:rPr>
    </w:lvl>
  </w:abstractNum>
  <w:num w:numId="1" w16cid:durableId="125658306">
    <w:abstractNumId w:val="6"/>
    <w:lvlOverride w:ilvl="0">
      <w:startOverride w:val="2"/>
    </w:lvlOverride>
    <w:lvlOverride w:ilvl="1">
      <w:startOverride w:val="1"/>
    </w:lvlOverride>
    <w:lvlOverride w:ilvl="2"/>
    <w:lvlOverride w:ilvl="3"/>
    <w:lvlOverride w:ilvl="4"/>
    <w:lvlOverride w:ilvl="5"/>
    <w:lvlOverride w:ilvl="6"/>
    <w:lvlOverride w:ilvl="7"/>
    <w:lvlOverride w:ilvl="8"/>
  </w:num>
  <w:num w:numId="2" w16cid:durableId="721710966">
    <w:abstractNumId w:val="2"/>
    <w:lvlOverride w:ilvl="0">
      <w:startOverride w:val="1"/>
    </w:lvlOverride>
    <w:lvlOverride w:ilvl="1"/>
    <w:lvlOverride w:ilvl="2"/>
    <w:lvlOverride w:ilvl="3"/>
    <w:lvlOverride w:ilvl="4"/>
    <w:lvlOverride w:ilvl="5"/>
    <w:lvlOverride w:ilvl="6"/>
    <w:lvlOverride w:ilvl="7"/>
    <w:lvlOverride w:ilvl="8"/>
  </w:num>
  <w:num w:numId="3" w16cid:durableId="1091009741">
    <w:abstractNumId w:val="4"/>
    <w:lvlOverride w:ilvl="0">
      <w:startOverride w:val="1"/>
    </w:lvlOverride>
    <w:lvlOverride w:ilvl="1"/>
    <w:lvlOverride w:ilvl="2"/>
    <w:lvlOverride w:ilvl="3"/>
    <w:lvlOverride w:ilvl="4"/>
    <w:lvlOverride w:ilvl="5"/>
    <w:lvlOverride w:ilvl="6"/>
    <w:lvlOverride w:ilvl="7"/>
    <w:lvlOverride w:ilvl="8"/>
  </w:num>
  <w:num w:numId="4" w16cid:durableId="1033581237">
    <w:abstractNumId w:val="1"/>
    <w:lvlOverride w:ilvl="0">
      <w:startOverride w:val="3"/>
    </w:lvlOverride>
    <w:lvlOverride w:ilvl="1">
      <w:startOverride w:val="1"/>
    </w:lvlOverride>
    <w:lvlOverride w:ilvl="2"/>
    <w:lvlOverride w:ilvl="3"/>
    <w:lvlOverride w:ilvl="4"/>
    <w:lvlOverride w:ilvl="5"/>
    <w:lvlOverride w:ilvl="6"/>
    <w:lvlOverride w:ilvl="7"/>
    <w:lvlOverride w:ilvl="8"/>
  </w:num>
  <w:num w:numId="5" w16cid:durableId="609359167">
    <w:abstractNumId w:val="0"/>
    <w:lvlOverride w:ilvl="0">
      <w:startOverride w:val="4"/>
    </w:lvlOverride>
    <w:lvlOverride w:ilvl="1">
      <w:startOverride w:val="1"/>
    </w:lvlOverride>
    <w:lvlOverride w:ilvl="2"/>
    <w:lvlOverride w:ilvl="3"/>
    <w:lvlOverride w:ilvl="4"/>
    <w:lvlOverride w:ilvl="5"/>
    <w:lvlOverride w:ilvl="6"/>
    <w:lvlOverride w:ilvl="7"/>
    <w:lvlOverride w:ilvl="8"/>
  </w:num>
  <w:num w:numId="6" w16cid:durableId="1863857534">
    <w:abstractNumId w:val="3"/>
    <w:lvlOverride w:ilvl="0">
      <w:startOverride w:val="5"/>
    </w:lvlOverride>
    <w:lvlOverride w:ilvl="1">
      <w:startOverride w:val="1"/>
    </w:lvlOverride>
    <w:lvlOverride w:ilvl="2"/>
    <w:lvlOverride w:ilvl="3"/>
    <w:lvlOverride w:ilvl="4"/>
    <w:lvlOverride w:ilvl="5"/>
    <w:lvlOverride w:ilvl="6"/>
    <w:lvlOverride w:ilvl="7"/>
    <w:lvlOverride w:ilvl="8"/>
  </w:num>
  <w:num w:numId="7" w16cid:durableId="899363531">
    <w:abstractNumId w:val="5"/>
    <w:lvlOverride w:ilvl="0">
      <w:startOverride w:val="8"/>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4A8"/>
    <w:rsid w:val="0005082B"/>
    <w:rsid w:val="000A44A8"/>
    <w:rsid w:val="003949EE"/>
    <w:rsid w:val="0041564C"/>
    <w:rsid w:val="006912F0"/>
    <w:rsid w:val="00AD3B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64DC0"/>
  <w15:chartTrackingRefBased/>
  <w15:docId w15:val="{80D3EA72-293F-49F6-B4D2-A8D23C122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3B71"/>
    <w:pPr>
      <w:widowControl w:val="0"/>
      <w:autoSpaceDE w:val="0"/>
      <w:autoSpaceDN w:val="0"/>
    </w:pPr>
    <w:rPr>
      <w:rFonts w:ascii="宋体" w:eastAsia="宋体" w:hAnsi="宋体" w:cs="宋体"/>
      <w:kern w:val="0"/>
      <w:sz w:val="22"/>
    </w:rPr>
  </w:style>
  <w:style w:type="paragraph" w:styleId="4">
    <w:name w:val="heading 4"/>
    <w:basedOn w:val="a"/>
    <w:next w:val="a"/>
    <w:link w:val="40"/>
    <w:uiPriority w:val="99"/>
    <w:qFormat/>
    <w:rsid w:val="00AD3B71"/>
    <w:pPr>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3B7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D3B71"/>
    <w:rPr>
      <w:sz w:val="18"/>
      <w:szCs w:val="18"/>
    </w:rPr>
  </w:style>
  <w:style w:type="paragraph" w:styleId="a5">
    <w:name w:val="footer"/>
    <w:basedOn w:val="a"/>
    <w:link w:val="a6"/>
    <w:uiPriority w:val="99"/>
    <w:unhideWhenUsed/>
    <w:rsid w:val="00AD3B71"/>
    <w:pPr>
      <w:tabs>
        <w:tab w:val="center" w:pos="4153"/>
        <w:tab w:val="right" w:pos="8306"/>
      </w:tabs>
      <w:snapToGrid w:val="0"/>
    </w:pPr>
    <w:rPr>
      <w:sz w:val="18"/>
      <w:szCs w:val="18"/>
    </w:rPr>
  </w:style>
  <w:style w:type="character" w:customStyle="1" w:styleId="a6">
    <w:name w:val="页脚 字符"/>
    <w:basedOn w:val="a0"/>
    <w:link w:val="a5"/>
    <w:uiPriority w:val="99"/>
    <w:rsid w:val="00AD3B71"/>
    <w:rPr>
      <w:sz w:val="18"/>
      <w:szCs w:val="18"/>
    </w:rPr>
  </w:style>
  <w:style w:type="character" w:customStyle="1" w:styleId="40">
    <w:name w:val="标题 4 字符"/>
    <w:basedOn w:val="a0"/>
    <w:link w:val="4"/>
    <w:uiPriority w:val="99"/>
    <w:rsid w:val="00AD3B71"/>
    <w:rPr>
      <w:rFonts w:ascii="宋体" w:eastAsia="宋体" w:hAnsi="宋体" w:cs="宋体"/>
      <w:b/>
      <w:bCs/>
      <w:kern w:val="0"/>
      <w:sz w:val="28"/>
      <w:szCs w:val="28"/>
    </w:rPr>
  </w:style>
  <w:style w:type="paragraph" w:customStyle="1" w:styleId="ListParagraph">
    <w:name w:val="List Paragraph"/>
    <w:basedOn w:val="a"/>
    <w:rsid w:val="00AD3B71"/>
    <w:pPr>
      <w:ind w:left="778" w:hanging="556"/>
    </w:pPr>
  </w:style>
  <w:style w:type="paragraph" w:styleId="a7">
    <w:name w:val="Body Text"/>
    <w:basedOn w:val="a"/>
    <w:link w:val="a8"/>
    <w:uiPriority w:val="99"/>
    <w:unhideWhenUsed/>
    <w:rsid w:val="00AD3B71"/>
    <w:rPr>
      <w:sz w:val="28"/>
      <w:szCs w:val="28"/>
    </w:rPr>
  </w:style>
  <w:style w:type="character" w:customStyle="1" w:styleId="a8">
    <w:name w:val="正文文本 字符"/>
    <w:basedOn w:val="a0"/>
    <w:link w:val="a7"/>
    <w:uiPriority w:val="99"/>
    <w:rsid w:val="00AD3B71"/>
    <w:rPr>
      <w:rFonts w:ascii="宋体" w:eastAsia="宋体" w:hAnsi="宋体" w:cs="宋体"/>
      <w:kern w:val="0"/>
      <w:sz w:val="28"/>
      <w:szCs w:val="28"/>
    </w:rPr>
  </w:style>
  <w:style w:type="character" w:styleId="a9">
    <w:name w:val="Hyperlink"/>
    <w:basedOn w:val="a0"/>
    <w:uiPriority w:val="99"/>
    <w:unhideWhenUsed/>
    <w:rsid w:val="00AD3B7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841600">
      <w:bodyDiv w:val="1"/>
      <w:marLeft w:val="0"/>
      <w:marRight w:val="0"/>
      <w:marTop w:val="0"/>
      <w:marBottom w:val="0"/>
      <w:divBdr>
        <w:top w:val="none" w:sz="0" w:space="0" w:color="auto"/>
        <w:left w:val="none" w:sz="0" w:space="0" w:color="auto"/>
        <w:bottom w:val="none" w:sz="0" w:space="0" w:color="auto"/>
        <w:right w:val="none" w:sz="0" w:space="0" w:color="auto"/>
      </w:divBdr>
    </w:div>
    <w:div w:id="498351821">
      <w:bodyDiv w:val="1"/>
      <w:marLeft w:val="0"/>
      <w:marRight w:val="0"/>
      <w:marTop w:val="0"/>
      <w:marBottom w:val="0"/>
      <w:divBdr>
        <w:top w:val="none" w:sz="0" w:space="0" w:color="auto"/>
        <w:left w:val="none" w:sz="0" w:space="0" w:color="auto"/>
        <w:bottom w:val="none" w:sz="0" w:space="0" w:color="auto"/>
        <w:right w:val="none" w:sz="0" w:space="0" w:color="auto"/>
      </w:divBdr>
    </w:div>
    <w:div w:id="910695861">
      <w:bodyDiv w:val="1"/>
      <w:marLeft w:val="0"/>
      <w:marRight w:val="0"/>
      <w:marTop w:val="0"/>
      <w:marBottom w:val="0"/>
      <w:divBdr>
        <w:top w:val="none" w:sz="0" w:space="0" w:color="auto"/>
        <w:left w:val="none" w:sz="0" w:space="0" w:color="auto"/>
        <w:bottom w:val="none" w:sz="0" w:space="0" w:color="auto"/>
        <w:right w:val="none" w:sz="0" w:space="0" w:color="auto"/>
      </w:divBdr>
    </w:div>
    <w:div w:id="136486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275</Words>
  <Characters>1570</Characters>
  <Application>Microsoft Office Word</Application>
  <DocSecurity>0</DocSecurity>
  <Lines>13</Lines>
  <Paragraphs>3</Paragraphs>
  <ScaleCrop>false</ScaleCrop>
  <Company/>
  <LinksUpToDate>false</LinksUpToDate>
  <CharactersWithSpaces>1842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万 星人</dc:creator>
  <cp:keywords/>
  <dc:description/>
  <cp:lastModifiedBy>万 星人</cp:lastModifiedBy>
  <cp:revision>3</cp:revision>
  <dcterms:created xsi:type="dcterms:W3CDTF">2022-05-26T10:32:00Z</dcterms:created>
  <dcterms:modified xsi:type="dcterms:W3CDTF">2022-05-26T10:34:00Z</dcterms:modified>
</cp:coreProperties>
</file>