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1154"/>
        <w:gridCol w:w="6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97" w:type="dxa"/>
            <w:vAlign w:val="top"/>
          </w:tcPr>
          <w:p>
            <w:pPr>
              <w:widowControl w:val="0"/>
              <w:wordWrap/>
              <w:adjustRightInd/>
              <w:snapToGrid/>
              <w:spacing w:before="0" w:after="0" w:line="400" w:lineRule="exact"/>
              <w:ind w:left="0" w:leftChars="0" w:right="0" w:firstLine="0" w:firstLineChars="0"/>
              <w:jc w:val="center"/>
              <w:textAlignment w:val="auto"/>
              <w:outlineLvl w:val="9"/>
              <w:rPr>
                <w:rFonts w:hint="eastAsia"/>
                <w:sz w:val="28"/>
                <w:szCs w:val="28"/>
                <w:lang w:val="en-US" w:eastAsia="zh-CN"/>
              </w:rPr>
            </w:pPr>
            <w:bookmarkStart w:id="0" w:name="_GoBack"/>
            <w:bookmarkEnd w:id="0"/>
            <w:r>
              <w:rPr>
                <w:rFonts w:hint="eastAsia"/>
                <w:sz w:val="28"/>
                <w:szCs w:val="28"/>
                <w:lang w:val="en-US" w:eastAsia="zh-CN"/>
              </w:rPr>
              <w:t>序号</w:t>
            </w:r>
          </w:p>
        </w:tc>
        <w:tc>
          <w:tcPr>
            <w:tcW w:w="1154" w:type="dxa"/>
            <w:vAlign w:val="top"/>
          </w:tcPr>
          <w:p>
            <w:pPr>
              <w:widowControl w:val="0"/>
              <w:wordWrap/>
              <w:adjustRightInd/>
              <w:snapToGrid/>
              <w:spacing w:before="0" w:after="0" w:line="400" w:lineRule="exact"/>
              <w:ind w:left="0" w:leftChars="0" w:right="0" w:firstLine="0" w:firstLineChars="0"/>
              <w:jc w:val="center"/>
              <w:textAlignment w:val="auto"/>
              <w:outlineLvl w:val="9"/>
              <w:rPr>
                <w:rFonts w:hint="eastAsia"/>
                <w:sz w:val="28"/>
                <w:szCs w:val="28"/>
                <w:lang w:val="en-US" w:eastAsia="zh-CN"/>
              </w:rPr>
            </w:pPr>
            <w:r>
              <w:rPr>
                <w:rFonts w:hint="eastAsia"/>
                <w:sz w:val="28"/>
                <w:szCs w:val="28"/>
                <w:lang w:val="en-US" w:eastAsia="zh-CN"/>
              </w:rPr>
              <w:t>产品 名称</w:t>
            </w:r>
          </w:p>
        </w:tc>
        <w:tc>
          <w:tcPr>
            <w:tcW w:w="6369" w:type="dxa"/>
            <w:vAlign w:val="top"/>
          </w:tcPr>
          <w:p>
            <w:pPr>
              <w:widowControl w:val="0"/>
              <w:wordWrap/>
              <w:adjustRightInd/>
              <w:snapToGrid/>
              <w:spacing w:before="0" w:after="0" w:line="400" w:lineRule="exact"/>
              <w:ind w:left="0" w:leftChars="0" w:right="0" w:firstLine="0" w:firstLineChars="0"/>
              <w:jc w:val="center"/>
              <w:textAlignment w:val="auto"/>
              <w:outlineLvl w:val="9"/>
              <w:rPr>
                <w:rFonts w:hint="eastAsia"/>
                <w:sz w:val="28"/>
                <w:szCs w:val="28"/>
                <w:lang w:val="en-US" w:eastAsia="zh-CN"/>
              </w:rPr>
            </w:pPr>
            <w:r>
              <w:rPr>
                <w:rFonts w:hint="eastAsia"/>
                <w:sz w:val="28"/>
                <w:szCs w:val="28"/>
                <w:lang w:val="en-US" w:eastAsia="zh-CN"/>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5" w:hRule="atLeast"/>
          <w:jc w:val="center"/>
        </w:trPr>
        <w:tc>
          <w:tcPr>
            <w:tcW w:w="997"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eastAsia"/>
                <w:sz w:val="28"/>
                <w:szCs w:val="28"/>
                <w:lang w:val="en-US" w:eastAsia="zh-CN"/>
              </w:rPr>
            </w:pPr>
            <w:r>
              <w:rPr>
                <w:rFonts w:hint="eastAsia"/>
                <w:sz w:val="28"/>
                <w:szCs w:val="28"/>
                <w:lang w:val="en-US" w:eastAsia="zh-CN"/>
              </w:rPr>
              <w:t>1</w:t>
            </w:r>
          </w:p>
        </w:tc>
        <w:tc>
          <w:tcPr>
            <w:tcW w:w="1154"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default"/>
                <w:sz w:val="28"/>
                <w:szCs w:val="28"/>
                <w:lang w:val="en-US" w:eastAsia="zh-CN"/>
              </w:rPr>
            </w:pPr>
            <w:r>
              <w:rPr>
                <w:rFonts w:hint="eastAsia"/>
                <w:sz w:val="28"/>
                <w:szCs w:val="28"/>
                <w:lang w:val="en-US" w:eastAsia="zh-CN"/>
              </w:rPr>
              <w:t>心肺复苏模型</w:t>
            </w:r>
          </w:p>
        </w:tc>
        <w:tc>
          <w:tcPr>
            <w:tcW w:w="6369" w:type="dxa"/>
            <w:vAlign w:val="center"/>
          </w:tcPr>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成人全身CPR训练模型人，解剖标志明显清晰，符合实际教学需求。</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详细功能如下：</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 气道培训</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1.1.高仿真模拟头部、颈椎和颚部活动，学员能感受到:“看、听、感觉” 人工呼吸的三大功能</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1.2.可进行面罩和简易呼吸器的呼吸训练</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1.3.气道被正确打开后，方能做人工呼吸：模拟人可做提拉下颌，倾斜头部两大功能</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1.4.可模拟气道受阻和胸部抬起的真实效果</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1.5.可反馈胃部充气效果</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1.6.可模拟气道受阻和胸部抬起的真实效果，需与真人通气胸前起伏效果一致，避免临床教学误导学员；</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1.7.通气到模拟人的胃部，模拟人身上的物理显示面板会有反馈，提示学员通气错误；</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 心脏按压</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2.1.胸部按压部位扩展，符合美国AHA2015年标准和欧洲ERC复苏指导大纲要求，导师可在培训或考核开始自主选择标准；</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2.2.可对系统内置的美国AHA2015年标准和欧洲ERC复苏指导大纲标准进行更改，如更改按压深度要求、按压速率要求、通气按压比等，以符合最新的指南标准；</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2.3.模拟人身上需有胸骨硬度调节装置，胸部按压硬度需可调节，至少有3种程度可调节，可模仿不同年龄群和性别的胸部硬度，无需拆解模拟人即可实现该功能；</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2.4.按压手部位置不正确时，模拟人身上的物理显示面板会提示学员手位按压错误，模拟人的数据反馈报告可显示手位按压错误数据信息；</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2.5.高仿真人体胸部按压，类似在人体上直接心肺复苏，可调节的硬度避免对受训者的习惯性误导；</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2.6.模拟人具有手动颈动脉搏动，可练习触摸颈动脉搏动；</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 内置软件联网功能</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3.1.模拟人软件系统可兼容微软windows、苹果Mac OS、安卓、苹果iOS等所有市售智能终端设备操作系统，可直接与模拟人内置网络连接作为模拟人的反馈数据终端；</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3.2.兼容带有无线功能的智能手机、Pad、笔记本电脑等各种自带浏览器的终端设备，无需任何网络覆盖即可连接和使用；</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3.3.模拟人身上具有数据接口，可以使用数据线直接连接所有Windows、Mac计算机进行急救数据教学反馈；</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3.4.无须在智能硬件设备上下载或者安装任何程序即可登录模拟人软件系统，实时查看训练情况；</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3.5.系统具有多种设置模式：受控会话设置内部参数及考核参数设定；查看模式可以实时查看受训者操作情况；自我训练模式可以免授权自行操作演练；</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3.6.系统可根据培训或和考核要求设置成单人通气、单人按压、单人CPR、双人协作CPR;</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3.7.具有训练和考核模式，训练模式下，学员可实时看到操作动态反馈；考核模式下，学员考核结束后，系统可提供详细的数据报告反馈表，反馈的数据至少包括：按压波形和通气波形、每分钟通气量、心输出量、通气率、通气量、胃部充气、ECC率、按压深度、按压中断时间、按压/放松比、手位错误情况、按压/通气比、手部离开时间等数据。</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3.8.考核模式下，可设置考官和学员的个人信息，考试结束后，考官可在学员的反馈报告上添加评语；</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3.9.系统需具有学员操作标记模块，可在急救培训或考核过程中，导师可对学员在急救过程中呼叫EMS，呼叫医生，确认现场安全等操作，直接在软件界面上根据学员操作时间选用相应的图标进行标记。考核结束后，电子量化反馈报告里学员的整个操作时间轴上会有相应的标记，方便导师进行整体评估。</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 机械训练反馈</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4.1.模拟人身上具有机械监控反馈系统，可实时显示学员人工通气量数据；</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4.2.显示心脏按压深度数值；</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 xml:space="preserve">4.3.显示按压部位正确与否；                              </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4.4.是否有胃充气；</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5.产品到达指定地点后的三个工作日内，现场安装调试产品，并指导用户了解产品的日常保养与维护，每年提供不少于6次免费产品培训。</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6.报修后24小时内响应，同型号正常机器先期更换。</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7.保修期3年，零部件供应5年以上，终身提供免费软件升级。</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 xml:space="preserve">需提供制造商授权书和质保函。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default"/>
                <w:sz w:val="28"/>
                <w:szCs w:val="28"/>
                <w:lang w:val="en-US" w:eastAsia="zh-CN"/>
              </w:rPr>
            </w:pPr>
            <w:r>
              <w:rPr>
                <w:rFonts w:hint="eastAsia"/>
                <w:sz w:val="28"/>
                <w:szCs w:val="28"/>
                <w:lang w:val="en-US" w:eastAsia="zh-CN"/>
              </w:rPr>
              <w:t>2</w:t>
            </w:r>
          </w:p>
        </w:tc>
        <w:tc>
          <w:tcPr>
            <w:tcW w:w="1154" w:type="dxa"/>
            <w:vAlign w:val="center"/>
          </w:tcPr>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rPr>
            </w:pPr>
            <w:r>
              <w:rPr>
                <w:rFonts w:hint="eastAsia"/>
                <w:sz w:val="28"/>
                <w:szCs w:val="28"/>
                <w:lang w:val="en-US" w:eastAsia="zh-CN"/>
              </w:rPr>
              <w:t>移动心肺听诊</w:t>
            </w:r>
          </w:p>
        </w:tc>
        <w:tc>
          <w:tcPr>
            <w:tcW w:w="6369" w:type="dxa"/>
            <w:vAlign w:val="top"/>
          </w:tcPr>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1.单机使用，有各种心肺听诊的声音输出，可在模拟病人身上相应部位进行听诊触诊训练。</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2.微电脑、模拟人、扩音器多种功能合为一体，一机多用。</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ascii="宋体" w:hAnsi="宋体" w:eastAsia="宋体" w:cs="宋体"/>
                <w:sz w:val="28"/>
                <w:szCs w:val="28"/>
              </w:rPr>
              <w:t>★</w:t>
            </w:r>
            <w:r>
              <w:rPr>
                <w:rFonts w:hint="eastAsia"/>
                <w:sz w:val="28"/>
                <w:szCs w:val="28"/>
                <w:lang w:val="en-US" w:eastAsia="zh-CN"/>
              </w:rPr>
              <w:t>3.能形象地模拟多种心肺触诊听诊体征。包括：正常心音、各种异常心音、各种心血管杂音、心包摩擦音、触诊心前区震颤、心包摩擦感、各种病理性呼吸音、干湿性罗音、胸膜摩擦音、语颤等，犹如一位真实病人。</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4.通过便捷式微电脑液晶显示器，调用心肺触诊听诊的考核内容，让学员进行心肺触诊听诊，答出体征的部位及特征，然后教师对学员的操作技能评定成绩。</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产品配置：</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（1）内置微电脑控制板1块</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（2）内置微电脑显示板1块</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（3）内置大功率扩音板1块</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（4）内置大功率音箱1只</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sz w:val="28"/>
                <w:szCs w:val="28"/>
                <w:lang w:val="en-US" w:eastAsia="zh-CN"/>
              </w:rPr>
              <w:t>（5）心肺触诊听诊检查模拟病人1具</w:t>
            </w:r>
          </w:p>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lang w:val="en-US" w:eastAsia="zh-CN"/>
              </w:rPr>
            </w:pPr>
            <w:r>
              <w:rPr>
                <w:rFonts w:hint="eastAsia" w:ascii="宋体" w:hAnsi="宋体" w:eastAsia="宋体" w:cs="宋体"/>
                <w:sz w:val="28"/>
                <w:szCs w:val="28"/>
                <w:lang w:val="en-US" w:eastAsia="zh-CN"/>
              </w:rPr>
              <w:t>6</w:t>
            </w:r>
            <w:r>
              <w:rPr>
                <w:rFonts w:hint="eastAsia"/>
                <w:sz w:val="28"/>
                <w:szCs w:val="28"/>
                <w:lang w:val="en-US" w:eastAsia="zh-CN"/>
              </w:rPr>
              <w:t>.保修期5年，零部件供应5年以上，终身提供免费软件升级。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dxa"/>
            <w:vAlign w:val="center"/>
          </w:tcPr>
          <w:p>
            <w:pPr>
              <w:widowControl w:val="0"/>
              <w:wordWrap/>
              <w:adjustRightInd/>
              <w:snapToGrid/>
              <w:spacing w:before="0" w:after="0" w:line="400" w:lineRule="exact"/>
              <w:ind w:left="0" w:leftChars="0" w:right="0" w:firstLine="0" w:firstLineChars="0"/>
              <w:jc w:val="center"/>
              <w:textAlignment w:val="auto"/>
              <w:outlineLvl w:val="9"/>
              <w:rPr>
                <w:rFonts w:hint="default"/>
                <w:sz w:val="28"/>
                <w:szCs w:val="28"/>
                <w:lang w:val="en-US" w:eastAsia="zh-CN"/>
              </w:rPr>
            </w:pPr>
            <w:r>
              <w:rPr>
                <w:rFonts w:hint="eastAsia"/>
                <w:sz w:val="28"/>
                <w:szCs w:val="28"/>
                <w:lang w:val="en-US" w:eastAsia="zh-CN"/>
              </w:rPr>
              <w:t>3</w:t>
            </w:r>
          </w:p>
        </w:tc>
        <w:tc>
          <w:tcPr>
            <w:tcW w:w="1154" w:type="dxa"/>
            <w:vAlign w:val="center"/>
          </w:tcPr>
          <w:p>
            <w:pPr>
              <w:widowControl w:val="0"/>
              <w:wordWrap/>
              <w:adjustRightInd/>
              <w:snapToGrid/>
              <w:spacing w:before="0" w:after="0" w:line="400" w:lineRule="exact"/>
              <w:ind w:left="0" w:leftChars="0" w:right="0" w:firstLine="0" w:firstLineChars="0"/>
              <w:jc w:val="left"/>
              <w:textAlignment w:val="auto"/>
              <w:outlineLvl w:val="9"/>
              <w:rPr>
                <w:rFonts w:hint="eastAsia"/>
                <w:sz w:val="28"/>
                <w:szCs w:val="28"/>
              </w:rPr>
            </w:pPr>
            <w:r>
              <w:rPr>
                <w:rFonts w:hint="eastAsia"/>
                <w:sz w:val="28"/>
                <w:szCs w:val="28"/>
              </w:rPr>
              <w:t>表面血管结扎</w:t>
            </w:r>
          </w:p>
        </w:tc>
        <w:tc>
          <w:tcPr>
            <w:tcW w:w="6369" w:type="dxa"/>
            <w:vAlign w:val="top"/>
          </w:tcPr>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1.模拟病人有多处出血点</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ascii="宋体" w:hAnsi="宋体" w:eastAsia="宋体" w:cs="宋体"/>
                <w:sz w:val="28"/>
                <w:szCs w:val="28"/>
              </w:rPr>
              <w:t>★</w:t>
            </w:r>
            <w:r>
              <w:rPr>
                <w:rFonts w:hint="eastAsia"/>
                <w:color w:val="auto"/>
                <w:sz w:val="28"/>
                <w:szCs w:val="28"/>
                <w:lang w:val="en-US" w:eastAsia="zh-CN"/>
              </w:rPr>
              <w:t>2.设有内径不同的多组血管，流血状态真实,血管弹性接近真实，使用年限不少于3年。</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3.多血管出血时的结扎、止血等操作</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4.配套提供国内专业机构技能培训项目理论讲课讲义PPT、基本操作标准流程及视频（1080P）、备物、题干（场景设定）、考点、评分标准等，学生可在（安卓和iOS）移动终端进行在线学习，并能显示所有学生学习时长排名对比。（提供页面截图并加盖制造商鲜章佐证）</w:t>
            </w:r>
          </w:p>
          <w:p>
            <w:pPr>
              <w:widowControl w:val="0"/>
              <w:wordWrap/>
              <w:adjustRightInd/>
              <w:snapToGrid/>
              <w:spacing w:before="0" w:after="0" w:line="400" w:lineRule="exact"/>
              <w:ind w:left="0" w:leftChars="0" w:right="0" w:firstLine="0" w:firstLineChars="0"/>
              <w:jc w:val="left"/>
              <w:textAlignment w:val="auto"/>
              <w:outlineLvl w:val="9"/>
              <w:rPr>
                <w:rFonts w:hint="eastAsia"/>
                <w:color w:val="auto"/>
                <w:sz w:val="28"/>
                <w:szCs w:val="28"/>
                <w:lang w:val="en-US" w:eastAsia="zh-CN"/>
              </w:rPr>
            </w:pPr>
            <w:r>
              <w:rPr>
                <w:rFonts w:hint="eastAsia"/>
                <w:color w:val="auto"/>
                <w:sz w:val="28"/>
                <w:szCs w:val="28"/>
                <w:lang w:val="en-US" w:eastAsia="zh-CN"/>
              </w:rPr>
              <w:t xml:space="preserve">5.需提供制造商授权书和质保函。 </w:t>
            </w:r>
          </w:p>
        </w:tc>
      </w:tr>
    </w:tbl>
    <w:p>
      <w:pPr>
        <w:jc w:val="left"/>
        <w:rPr>
          <w:sz w:val="18"/>
          <w:szCs w:val="18"/>
        </w:rPr>
      </w:pPr>
    </w:p>
    <w:sectPr>
      <w:pgSz w:w="11906" w:h="16838"/>
      <w:pgMar w:top="1440" w:right="1800" w:bottom="108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MWU2ZmFlM2IzNzJkNTgyOWQwNGViNGZmNmFiNTIifQ=="/>
  </w:docVars>
  <w:rsids>
    <w:rsidRoot w:val="00000000"/>
    <w:rsid w:val="3B1B034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1968</Words>
  <Characters>2120</Characters>
  <Lines>16</Lines>
  <Paragraphs>4</Paragraphs>
  <TotalTime>0</TotalTime>
  <ScaleCrop>false</ScaleCrop>
  <LinksUpToDate>false</LinksUpToDate>
  <CharactersWithSpaces>2160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Administrator</cp:lastModifiedBy>
  <dcterms:modified xsi:type="dcterms:W3CDTF">2022-10-27T06:50:10Z</dcterms:modified>
  <dc:title>序号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6F48C84AA57641D6BD23DEF1B9C06A73</vt:lpwstr>
  </property>
</Properties>
</file>