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ind w:firstLine="482" w:firstLineChars="200"/>
        <w:jc w:val="center"/>
        <w:rPr>
          <w:rFonts w:hint="eastAsia" w:ascii="宋体" w:hAnsi="宋体"/>
          <w:kern w:val="0"/>
          <w:sz w:val="24"/>
          <w:szCs w:val="28"/>
        </w:rPr>
      </w:pPr>
      <w:r>
        <w:rPr>
          <w:rFonts w:hint="eastAsia" w:ascii="宋体" w:hAnsi="宋体"/>
          <w:b/>
          <w:bCs/>
          <w:sz w:val="24"/>
          <w:szCs w:val="32"/>
        </w:rPr>
        <w:t>服务企业履约评价表</w:t>
      </w:r>
    </w:p>
    <w:tbl>
      <w:tblPr>
        <w:tblStyle w:val="3"/>
        <w:tblW w:w="577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1"/>
        <w:gridCol w:w="1199"/>
        <w:gridCol w:w="2310"/>
        <w:gridCol w:w="2191"/>
        <w:gridCol w:w="25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03" w:type="pc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color w:val="000000"/>
                <w:kern w:val="0"/>
                <w:sz w:val="24"/>
                <w:szCs w:val="18"/>
              </w:rPr>
            </w:pPr>
            <w:r>
              <w:rPr>
                <w:rFonts w:hint="eastAsia"/>
                <w:color w:val="000000"/>
                <w:kern w:val="0"/>
                <w:sz w:val="24"/>
                <w:szCs w:val="18"/>
              </w:rPr>
              <w:t>服务单位</w:t>
            </w:r>
          </w:p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18"/>
              </w:rPr>
            </w:pPr>
            <w:r>
              <w:rPr>
                <w:rFonts w:hint="eastAsia"/>
                <w:color w:val="000000"/>
                <w:kern w:val="0"/>
                <w:sz w:val="24"/>
                <w:szCs w:val="18"/>
              </w:rPr>
              <w:t>（中标人）</w:t>
            </w:r>
          </w:p>
        </w:tc>
        <w:tc>
          <w:tcPr>
            <w:tcW w:w="4196" w:type="pct"/>
            <w:gridSpan w:val="4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803" w:type="pc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18"/>
              </w:rPr>
            </w:pPr>
            <w:r>
              <w:rPr>
                <w:rFonts w:hint="eastAsia"/>
                <w:color w:val="000000"/>
                <w:kern w:val="0"/>
                <w:sz w:val="24"/>
                <w:szCs w:val="18"/>
              </w:rPr>
              <w:t>项目名称</w:t>
            </w:r>
          </w:p>
        </w:tc>
        <w:tc>
          <w:tcPr>
            <w:tcW w:w="4196" w:type="pct"/>
            <w:gridSpan w:val="4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03" w:type="pc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18"/>
              </w:rPr>
            </w:pPr>
            <w:r>
              <w:rPr>
                <w:rFonts w:hint="eastAsia"/>
                <w:color w:val="000000"/>
                <w:kern w:val="0"/>
                <w:sz w:val="24"/>
                <w:szCs w:val="18"/>
              </w:rPr>
              <w:t>项目内容</w:t>
            </w:r>
          </w:p>
        </w:tc>
        <w:tc>
          <w:tcPr>
            <w:tcW w:w="4196" w:type="pct"/>
            <w:gridSpan w:val="4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03" w:type="pct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18"/>
              </w:rPr>
            </w:pPr>
            <w:r>
              <w:rPr>
                <w:rFonts w:hint="eastAsia"/>
                <w:color w:val="000000"/>
                <w:kern w:val="0"/>
                <w:sz w:val="24"/>
                <w:szCs w:val="18"/>
              </w:rPr>
              <w:t>评价意见</w:t>
            </w:r>
          </w:p>
        </w:tc>
        <w:tc>
          <w:tcPr>
            <w:tcW w:w="609" w:type="pc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18"/>
              </w:rPr>
            </w:pPr>
            <w:r>
              <w:rPr>
                <w:rFonts w:hint="eastAsia"/>
                <w:color w:val="000000"/>
                <w:kern w:val="0"/>
                <w:sz w:val="24"/>
                <w:szCs w:val="18"/>
              </w:rPr>
              <w:t>评价内容</w:t>
            </w:r>
          </w:p>
        </w:tc>
        <w:tc>
          <w:tcPr>
            <w:tcW w:w="1173" w:type="pc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18"/>
              </w:rPr>
            </w:pPr>
            <w:r>
              <w:rPr>
                <w:rFonts w:hint="eastAsia"/>
                <w:color w:val="000000"/>
                <w:kern w:val="0"/>
                <w:sz w:val="24"/>
                <w:szCs w:val="18"/>
              </w:rPr>
              <w:t>评价分档意见</w:t>
            </w:r>
          </w:p>
        </w:tc>
        <w:tc>
          <w:tcPr>
            <w:tcW w:w="1113" w:type="pc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18"/>
              </w:rPr>
            </w:pPr>
            <w:r>
              <w:rPr>
                <w:rFonts w:hint="eastAsia"/>
                <w:color w:val="000000"/>
                <w:kern w:val="0"/>
                <w:sz w:val="24"/>
                <w:szCs w:val="18"/>
              </w:rPr>
              <w:t>得分</w:t>
            </w:r>
          </w:p>
        </w:tc>
        <w:tc>
          <w:tcPr>
            <w:tcW w:w="1300" w:type="pc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18"/>
              </w:rPr>
            </w:pPr>
            <w:r>
              <w:rPr>
                <w:rFonts w:hint="eastAsia"/>
                <w:color w:val="000000"/>
                <w:kern w:val="0"/>
                <w:sz w:val="24"/>
                <w:szCs w:val="18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803" w:type="pct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09" w:type="pc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人员到位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20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分）</w:t>
            </w:r>
          </w:p>
        </w:tc>
        <w:tc>
          <w:tcPr>
            <w:tcW w:w="1173" w:type="pct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□好（</w:t>
            </w:r>
            <w:r>
              <w:rPr>
                <w:color w:val="000000"/>
                <w:kern w:val="0"/>
                <w:sz w:val="18"/>
                <w:szCs w:val="18"/>
              </w:rPr>
              <w:t>&gt;8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分）</w:t>
            </w:r>
          </w:p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□较好（</w:t>
            </w:r>
            <w:r>
              <w:rPr>
                <w:color w:val="000000"/>
                <w:kern w:val="0"/>
                <w:sz w:val="18"/>
                <w:szCs w:val="18"/>
              </w:rPr>
              <w:t>&gt;6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分）</w:t>
            </w:r>
          </w:p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□一般（</w:t>
            </w:r>
            <w:r>
              <w:rPr>
                <w:color w:val="000000"/>
                <w:kern w:val="0"/>
                <w:sz w:val="18"/>
                <w:szCs w:val="18"/>
              </w:rPr>
              <w:t>&gt;4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分）</w:t>
            </w:r>
          </w:p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□较差（</w:t>
            </w:r>
            <w:r>
              <w:rPr>
                <w:color w:val="000000"/>
                <w:kern w:val="0"/>
                <w:sz w:val="18"/>
                <w:szCs w:val="18"/>
              </w:rPr>
              <w:t>&gt;2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分）</w:t>
            </w:r>
          </w:p>
          <w:p>
            <w:pPr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□差（</w:t>
            </w:r>
            <w:r>
              <w:rPr>
                <w:color w:val="000000"/>
                <w:kern w:val="0"/>
                <w:sz w:val="18"/>
                <w:szCs w:val="18"/>
              </w:rPr>
              <w:t>&gt;0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分）</w:t>
            </w:r>
          </w:p>
        </w:tc>
        <w:tc>
          <w:tcPr>
            <w:tcW w:w="1113" w:type="pct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00" w:type="pct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803" w:type="pct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09" w:type="pc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时效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控制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20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分）</w:t>
            </w:r>
          </w:p>
        </w:tc>
        <w:tc>
          <w:tcPr>
            <w:tcW w:w="1173" w:type="pct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□好（</w:t>
            </w:r>
            <w:r>
              <w:rPr>
                <w:color w:val="000000"/>
                <w:kern w:val="0"/>
                <w:sz w:val="18"/>
                <w:szCs w:val="18"/>
              </w:rPr>
              <w:t>&gt;8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分）</w:t>
            </w:r>
          </w:p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□较好（</w:t>
            </w:r>
            <w:r>
              <w:rPr>
                <w:color w:val="000000"/>
                <w:kern w:val="0"/>
                <w:sz w:val="18"/>
                <w:szCs w:val="18"/>
              </w:rPr>
              <w:t>&gt;6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分）</w:t>
            </w:r>
          </w:p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□一般（</w:t>
            </w:r>
            <w:r>
              <w:rPr>
                <w:color w:val="000000"/>
                <w:kern w:val="0"/>
                <w:sz w:val="18"/>
                <w:szCs w:val="18"/>
              </w:rPr>
              <w:t>&gt;4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分）</w:t>
            </w:r>
          </w:p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□较差（</w:t>
            </w:r>
            <w:r>
              <w:rPr>
                <w:color w:val="000000"/>
                <w:kern w:val="0"/>
                <w:sz w:val="18"/>
                <w:szCs w:val="18"/>
              </w:rPr>
              <w:t>&gt;2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分）</w:t>
            </w:r>
          </w:p>
          <w:p>
            <w:pPr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□差（</w:t>
            </w:r>
            <w:r>
              <w:rPr>
                <w:color w:val="000000"/>
                <w:kern w:val="0"/>
                <w:sz w:val="18"/>
                <w:szCs w:val="18"/>
              </w:rPr>
              <w:t>&gt;0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分）</w:t>
            </w:r>
          </w:p>
        </w:tc>
        <w:tc>
          <w:tcPr>
            <w:tcW w:w="1113" w:type="pct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00" w:type="pct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803" w:type="pct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09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试验报告编制完整性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20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分）</w:t>
            </w:r>
          </w:p>
        </w:tc>
        <w:tc>
          <w:tcPr>
            <w:tcW w:w="1173" w:type="pct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□好（</w:t>
            </w:r>
            <w:r>
              <w:rPr>
                <w:color w:val="000000"/>
                <w:kern w:val="0"/>
                <w:sz w:val="18"/>
                <w:szCs w:val="18"/>
              </w:rPr>
              <w:t>&gt;8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分）</w:t>
            </w:r>
          </w:p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□较好（</w:t>
            </w:r>
            <w:r>
              <w:rPr>
                <w:color w:val="000000"/>
                <w:kern w:val="0"/>
                <w:sz w:val="18"/>
                <w:szCs w:val="18"/>
              </w:rPr>
              <w:t>&gt;6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分）</w:t>
            </w:r>
          </w:p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□一般（</w:t>
            </w:r>
            <w:r>
              <w:rPr>
                <w:color w:val="000000"/>
                <w:kern w:val="0"/>
                <w:sz w:val="18"/>
                <w:szCs w:val="18"/>
              </w:rPr>
              <w:t>&gt;4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分）</w:t>
            </w:r>
          </w:p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□较差（</w:t>
            </w:r>
            <w:r>
              <w:rPr>
                <w:color w:val="000000"/>
                <w:kern w:val="0"/>
                <w:sz w:val="18"/>
                <w:szCs w:val="18"/>
              </w:rPr>
              <w:t>&gt;2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分）</w:t>
            </w:r>
          </w:p>
          <w:p>
            <w:pPr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□差（</w:t>
            </w:r>
            <w:r>
              <w:rPr>
                <w:color w:val="000000"/>
                <w:kern w:val="0"/>
                <w:sz w:val="18"/>
                <w:szCs w:val="18"/>
              </w:rPr>
              <w:t>&gt;0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分）</w:t>
            </w:r>
          </w:p>
        </w:tc>
        <w:tc>
          <w:tcPr>
            <w:tcW w:w="1113" w:type="pct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00" w:type="pct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803" w:type="pct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09" w:type="pc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配合与服务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20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分）</w:t>
            </w:r>
          </w:p>
        </w:tc>
        <w:tc>
          <w:tcPr>
            <w:tcW w:w="1173" w:type="pct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□好（</w:t>
            </w:r>
            <w:r>
              <w:rPr>
                <w:color w:val="000000"/>
                <w:kern w:val="0"/>
                <w:sz w:val="18"/>
                <w:szCs w:val="18"/>
              </w:rPr>
              <w:t>&gt;8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分）</w:t>
            </w:r>
          </w:p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□较好（</w:t>
            </w:r>
            <w:r>
              <w:rPr>
                <w:color w:val="000000"/>
                <w:kern w:val="0"/>
                <w:sz w:val="18"/>
                <w:szCs w:val="18"/>
              </w:rPr>
              <w:t>&gt;6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分）</w:t>
            </w:r>
          </w:p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□一般（</w:t>
            </w:r>
            <w:r>
              <w:rPr>
                <w:color w:val="000000"/>
                <w:kern w:val="0"/>
                <w:sz w:val="18"/>
                <w:szCs w:val="18"/>
              </w:rPr>
              <w:t>&gt;4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分）</w:t>
            </w:r>
          </w:p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□较差（</w:t>
            </w:r>
            <w:r>
              <w:rPr>
                <w:color w:val="000000"/>
                <w:kern w:val="0"/>
                <w:sz w:val="18"/>
                <w:szCs w:val="18"/>
              </w:rPr>
              <w:t>&gt;2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分）</w:t>
            </w:r>
          </w:p>
          <w:p>
            <w:pPr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□差（</w:t>
            </w:r>
            <w:r>
              <w:rPr>
                <w:color w:val="000000"/>
                <w:kern w:val="0"/>
                <w:sz w:val="18"/>
                <w:szCs w:val="18"/>
              </w:rPr>
              <w:t>&gt;0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分）</w:t>
            </w:r>
          </w:p>
        </w:tc>
        <w:tc>
          <w:tcPr>
            <w:tcW w:w="1113" w:type="pct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00" w:type="pct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803" w:type="pct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09" w:type="pc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整体评价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20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分）</w:t>
            </w:r>
          </w:p>
        </w:tc>
        <w:tc>
          <w:tcPr>
            <w:tcW w:w="1173" w:type="pct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□好（</w:t>
            </w:r>
            <w:r>
              <w:rPr>
                <w:color w:val="000000"/>
                <w:kern w:val="0"/>
                <w:sz w:val="18"/>
                <w:szCs w:val="18"/>
              </w:rPr>
              <w:t>&gt;8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分）</w:t>
            </w:r>
          </w:p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□较好（</w:t>
            </w:r>
            <w:r>
              <w:rPr>
                <w:color w:val="000000"/>
                <w:kern w:val="0"/>
                <w:sz w:val="18"/>
                <w:szCs w:val="18"/>
              </w:rPr>
              <w:t>&gt;6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分）</w:t>
            </w:r>
          </w:p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□一般（</w:t>
            </w:r>
            <w:r>
              <w:rPr>
                <w:color w:val="000000"/>
                <w:kern w:val="0"/>
                <w:sz w:val="18"/>
                <w:szCs w:val="18"/>
              </w:rPr>
              <w:t>&gt;4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分）</w:t>
            </w:r>
          </w:p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□较差（</w:t>
            </w:r>
            <w:r>
              <w:rPr>
                <w:color w:val="000000"/>
                <w:kern w:val="0"/>
                <w:sz w:val="18"/>
                <w:szCs w:val="18"/>
              </w:rPr>
              <w:t>&gt;2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分）</w:t>
            </w:r>
          </w:p>
          <w:p>
            <w:pPr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□差（</w:t>
            </w:r>
            <w:r>
              <w:rPr>
                <w:color w:val="000000"/>
                <w:kern w:val="0"/>
                <w:sz w:val="18"/>
                <w:szCs w:val="18"/>
              </w:rPr>
              <w:t>&gt;0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分）</w:t>
            </w:r>
          </w:p>
        </w:tc>
        <w:tc>
          <w:tcPr>
            <w:tcW w:w="1113" w:type="pct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00" w:type="pct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03" w:type="pct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82" w:type="pct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18"/>
              </w:rPr>
              <w:t>评价总得分</w:t>
            </w:r>
          </w:p>
        </w:tc>
        <w:tc>
          <w:tcPr>
            <w:tcW w:w="2413" w:type="pct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5000" w:type="pct"/>
            <w:gridSpan w:val="5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24"/>
                <w:szCs w:val="18"/>
              </w:rPr>
              <w:t>评分人（签字）：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5000" w:type="pct"/>
            <w:gridSpan w:val="5"/>
            <w:noWrap w:val="0"/>
            <w:vAlign w:val="center"/>
          </w:tcPr>
          <w:p>
            <w:pPr>
              <w:pStyle w:val="2"/>
              <w:spacing w:line="300" w:lineRule="exact"/>
              <w:rPr>
                <w:rFonts w:hint="eastAsia" w:ascii="宋体" w:hAnsi="宋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1"/>
                <w:szCs w:val="21"/>
                <w:lang w:val="en-US" w:eastAsia="zh-CN"/>
              </w:rPr>
              <w:t>备注：中标人实行业绩评价机制。招标人每一年对中标人评价一次。</w:t>
            </w:r>
          </w:p>
          <w:p>
            <w:pPr>
              <w:autoSpaceDE w:val="0"/>
              <w:autoSpaceDN w:val="0"/>
              <w:spacing w:line="300" w:lineRule="exact"/>
              <w:jc w:val="left"/>
              <w:rPr>
                <w:rFonts w:hint="eastAsia"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说明：</w:t>
            </w:r>
          </w:p>
          <w:p>
            <w:pPr>
              <w:autoSpaceDE w:val="0"/>
              <w:autoSpaceDN w:val="0"/>
              <w:spacing w:line="300" w:lineRule="exact"/>
              <w:jc w:val="left"/>
              <w:rPr>
                <w:rFonts w:hint="eastAsia"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（1）中标人评价总分在90分（含）-100分（含）的，视为合格。</w:t>
            </w:r>
          </w:p>
          <w:p>
            <w:pPr>
              <w:autoSpaceDE w:val="0"/>
              <w:autoSpaceDN w:val="0"/>
              <w:spacing w:line="300" w:lineRule="exact"/>
              <w:jc w:val="left"/>
              <w:rPr>
                <w:rFonts w:hint="eastAsia" w:ascii="宋体" w:hAnsi="宋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（2）中标人评价总分在80分（含）-90分（不含）的，扣减</w:t>
            </w:r>
            <w:r>
              <w:rPr>
                <w:rFonts w:hint="eastAsia" w:ascii="宋体" w:hAnsi="宋体"/>
                <w:b/>
                <w:sz w:val="21"/>
                <w:szCs w:val="21"/>
                <w:lang w:val="en-US" w:eastAsia="zh-CN"/>
              </w:rPr>
              <w:t>本考核期内10%服务费。</w:t>
            </w:r>
          </w:p>
          <w:p>
            <w:pPr>
              <w:autoSpaceDE w:val="0"/>
              <w:autoSpaceDN w:val="0"/>
              <w:spacing w:line="300" w:lineRule="exact"/>
              <w:jc w:val="left"/>
              <w:rPr>
                <w:rFonts w:hint="eastAsia"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（3）中标人评价总分在80分（不含）以下的：取消其服务资格并解除合同，且两年内不得承接</w:t>
            </w:r>
            <w:r>
              <w:rPr>
                <w:rFonts w:hint="eastAsia" w:ascii="宋体" w:hAnsi="宋体"/>
                <w:b/>
                <w:sz w:val="21"/>
                <w:szCs w:val="21"/>
                <w:lang w:val="en-US" w:eastAsia="zh-CN"/>
              </w:rPr>
              <w:t>马鞍山市人民医院耐压试验相关</w:t>
            </w:r>
            <w:r>
              <w:rPr>
                <w:rFonts w:hint="eastAsia" w:ascii="宋体" w:hAnsi="宋体"/>
                <w:b/>
                <w:sz w:val="21"/>
                <w:szCs w:val="21"/>
              </w:rPr>
              <w:t>业务。</w:t>
            </w:r>
          </w:p>
          <w:p>
            <w:pPr>
              <w:autoSpaceDE w:val="0"/>
              <w:autoSpaceDN w:val="0"/>
              <w:spacing w:line="30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（4）上述内容若与合同约定不一致，则招标人有权选择中标人较重的违约责任执行。</w:t>
            </w:r>
          </w:p>
        </w:tc>
      </w:tr>
    </w:tbl>
    <w:p>
      <w:pPr>
        <w:pStyle w:val="2"/>
        <w:rPr>
          <w:rFonts w:hint="eastAsia"/>
          <w:sz w:val="20"/>
          <w:szCs w:val="20"/>
        </w:rPr>
      </w:pPr>
    </w:p>
    <w:p>
      <w:pPr>
        <w:rPr>
          <w:sz w:val="21"/>
          <w:szCs w:val="22"/>
        </w:rPr>
      </w:pPr>
      <w:r>
        <w:rPr>
          <w:rFonts w:hint="eastAsia" w:ascii="宋体" w:hAnsi="宋体" w:eastAsia="宋体" w:cs="宋体"/>
          <w:sz w:val="24"/>
          <w:szCs w:val="24"/>
        </w:rPr>
        <w:t>服务期：3年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FhNzJjOGM3YWZmZjM3MTZkYWM3YjlkZmRiMzgxMzIifQ=="/>
  </w:docVars>
  <w:rsids>
    <w:rsidRoot w:val="26FA0BC1"/>
    <w:rsid w:val="26FA0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jc w:val="left"/>
    </w:pPr>
    <w:rPr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2022-11-04T07:10:00Z</dcterms:created>
  <dc:creator>Administrator</dc:creator>
  <cp:lastModifiedBy>Administrator</cp:lastModifiedBy>
  <dcterms:modified xsi:type="dcterms:W3CDTF">2022-11-04T07:13:26Z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C2CF254A94A145D88D6A7293BE02D3AD</vt:lpwstr>
  </property>
</Properties>
</file>