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jc w:val="center"/>
        <w:rPr>
          <w:rFonts w:ascii="仿宋" w:hAnsi="仿宋" w:eastAsia="仿宋"/>
          <w:sz w:val="44"/>
          <w:szCs w:val="44"/>
        </w:rPr>
      </w:pPr>
      <w:r>
        <w:rPr>
          <w:rFonts w:hint="eastAsia" w:ascii="仿宋" w:hAnsi="仿宋" w:eastAsia="仿宋"/>
          <w:sz w:val="44"/>
          <w:szCs w:val="44"/>
        </w:rPr>
        <w:t>马鞍山市人民医院脑健康认知测评平台及认知功能康复训练与评估项目建设方案</w:t>
      </w:r>
    </w:p>
    <w:p>
      <w:pPr>
        <w:spacing w:line="560" w:lineRule="exact"/>
        <w:jc w:val="center"/>
        <w:rPr>
          <w:rFonts w:ascii="仿宋" w:hAnsi="仿宋" w:eastAsia="仿宋"/>
          <w:spacing w:val="76"/>
          <w:sz w:val="32"/>
          <w:szCs w:val="32"/>
        </w:rPr>
      </w:pPr>
    </w:p>
    <w:p>
      <w:pPr>
        <w:spacing w:line="560" w:lineRule="exact"/>
        <w:jc w:val="center"/>
        <w:rPr>
          <w:rFonts w:ascii="仿宋" w:hAnsi="仿宋" w:eastAsia="仿宋"/>
          <w:spacing w:val="76"/>
          <w:sz w:val="32"/>
          <w:szCs w:val="32"/>
        </w:rPr>
      </w:pPr>
    </w:p>
    <w:p>
      <w:pPr>
        <w:spacing w:line="560" w:lineRule="exact"/>
        <w:jc w:val="center"/>
        <w:rPr>
          <w:rFonts w:ascii="仿宋" w:hAnsi="仿宋" w:eastAsia="仿宋"/>
          <w:spacing w:val="76"/>
          <w:sz w:val="32"/>
          <w:szCs w:val="32"/>
        </w:rPr>
      </w:pPr>
    </w:p>
    <w:p>
      <w:pPr>
        <w:spacing w:line="560" w:lineRule="exact"/>
        <w:ind w:left="2239" w:leftChars="152" w:hanging="1920" w:hangingChars="600"/>
        <w:jc w:val="left"/>
        <w:rPr>
          <w:rFonts w:ascii="仿宋" w:hAnsi="仿宋" w:eastAsia="仿宋"/>
          <w:kern w:val="0"/>
          <w:sz w:val="32"/>
          <w:szCs w:val="32"/>
          <w:u w:val="single"/>
        </w:rPr>
      </w:pPr>
      <w:r>
        <w:rPr>
          <w:rFonts w:hint="eastAsia" w:ascii="仿宋" w:hAnsi="仿宋" w:eastAsia="仿宋"/>
          <w:kern w:val="0"/>
          <w:sz w:val="32"/>
          <w:szCs w:val="32"/>
        </w:rPr>
        <w:t xml:space="preserve">项目名称：  </w:t>
      </w:r>
      <w:r>
        <w:rPr>
          <w:rFonts w:hint="eastAsia" w:ascii="仿宋" w:hAnsi="仿宋" w:eastAsia="仿宋"/>
          <w:kern w:val="0"/>
          <w:sz w:val="32"/>
          <w:szCs w:val="32"/>
          <w:u w:val="single"/>
        </w:rPr>
        <w:t xml:space="preserve">马鞍山市人民医院脑健康认知测评平台及认知功能康复训练与评估项目建设方案                                </w:t>
      </w:r>
    </w:p>
    <w:p>
      <w:pPr>
        <w:spacing w:line="560" w:lineRule="exact"/>
        <w:rPr>
          <w:rFonts w:ascii="仿宋" w:hAnsi="仿宋" w:eastAsia="仿宋"/>
          <w:spacing w:val="76"/>
          <w:sz w:val="32"/>
          <w:szCs w:val="32"/>
        </w:rPr>
      </w:pPr>
    </w:p>
    <w:p>
      <w:pPr>
        <w:spacing w:line="560" w:lineRule="exact"/>
        <w:ind w:firstLine="313" w:firstLineChars="98"/>
        <w:rPr>
          <w:rFonts w:ascii="仿宋" w:hAnsi="仿宋" w:eastAsia="仿宋"/>
          <w:kern w:val="0"/>
          <w:sz w:val="32"/>
          <w:szCs w:val="32"/>
          <w:u w:val="single"/>
        </w:rPr>
      </w:pPr>
      <w:r>
        <w:rPr>
          <w:rFonts w:hint="eastAsia" w:ascii="仿宋" w:hAnsi="仿宋" w:eastAsia="仿宋"/>
          <w:kern w:val="0"/>
          <w:sz w:val="32"/>
          <w:szCs w:val="32"/>
        </w:rPr>
        <w:t xml:space="preserve">申报单位：  </w:t>
      </w:r>
      <w:r>
        <w:rPr>
          <w:rFonts w:hint="eastAsia" w:ascii="仿宋" w:hAnsi="仿宋" w:eastAsia="仿宋"/>
          <w:kern w:val="0"/>
          <w:sz w:val="32"/>
          <w:szCs w:val="32"/>
          <w:u w:val="single"/>
        </w:rPr>
        <w:t xml:space="preserve">              （盖章）                   </w:t>
      </w:r>
    </w:p>
    <w:p>
      <w:pPr>
        <w:spacing w:line="560" w:lineRule="exact"/>
        <w:rPr>
          <w:rFonts w:ascii="仿宋" w:hAnsi="仿宋" w:eastAsia="仿宋"/>
          <w:spacing w:val="76"/>
          <w:sz w:val="32"/>
          <w:szCs w:val="32"/>
        </w:rPr>
      </w:pPr>
    </w:p>
    <w:p>
      <w:pPr>
        <w:spacing w:line="560" w:lineRule="exact"/>
        <w:ind w:firstLine="313" w:firstLineChars="98"/>
        <w:rPr>
          <w:rFonts w:ascii="仿宋" w:hAnsi="仿宋" w:eastAsia="仿宋"/>
          <w:sz w:val="32"/>
          <w:szCs w:val="32"/>
        </w:rPr>
      </w:pPr>
      <w:r>
        <w:rPr>
          <w:rFonts w:hint="eastAsia" w:ascii="仿宋" w:hAnsi="仿宋" w:eastAsia="仿宋"/>
          <w:kern w:val="0"/>
          <w:sz w:val="32"/>
          <w:szCs w:val="32"/>
        </w:rPr>
        <w:t>编制</w:t>
      </w:r>
      <w:r>
        <w:rPr>
          <w:rFonts w:hint="eastAsia" w:ascii="仿宋" w:hAnsi="仿宋" w:eastAsia="仿宋"/>
          <w:sz w:val="32"/>
          <w:szCs w:val="32"/>
        </w:rPr>
        <w:t>单位</w:t>
      </w:r>
      <w:r>
        <w:rPr>
          <w:rFonts w:hint="eastAsia" w:ascii="仿宋" w:hAnsi="仿宋" w:eastAsia="仿宋"/>
          <w:kern w:val="0"/>
          <w:sz w:val="32"/>
          <w:szCs w:val="32"/>
        </w:rPr>
        <w:t xml:space="preserve">：  </w:t>
      </w:r>
      <w:r>
        <w:rPr>
          <w:rFonts w:hint="eastAsia" w:ascii="仿宋" w:hAnsi="仿宋" w:eastAsia="仿宋"/>
          <w:kern w:val="0"/>
          <w:sz w:val="32"/>
          <w:szCs w:val="32"/>
          <w:u w:val="single"/>
        </w:rPr>
        <w:t xml:space="preserve">          马鞍山市人民医院             </w:t>
      </w:r>
    </w:p>
    <w:p>
      <w:pPr>
        <w:spacing w:line="560" w:lineRule="exact"/>
        <w:rPr>
          <w:rFonts w:ascii="仿宋" w:hAnsi="仿宋" w:eastAsia="仿宋"/>
          <w:sz w:val="32"/>
          <w:szCs w:val="32"/>
        </w:rPr>
      </w:pPr>
    </w:p>
    <w:p>
      <w:pPr>
        <w:spacing w:line="560" w:lineRule="exact"/>
        <w:ind w:firstLine="313" w:firstLineChars="98"/>
        <w:rPr>
          <w:rFonts w:ascii="仿宋" w:hAnsi="仿宋" w:eastAsia="仿宋"/>
          <w:sz w:val="32"/>
          <w:szCs w:val="32"/>
        </w:rPr>
      </w:pPr>
      <w:r>
        <w:rPr>
          <w:rFonts w:hint="eastAsia" w:ascii="仿宋" w:hAnsi="仿宋" w:eastAsia="仿宋"/>
          <w:kern w:val="0"/>
          <w:sz w:val="32"/>
          <w:szCs w:val="32"/>
        </w:rPr>
        <w:t>编制</w:t>
      </w:r>
      <w:r>
        <w:rPr>
          <w:rFonts w:hint="eastAsia" w:ascii="仿宋" w:hAnsi="仿宋" w:eastAsia="仿宋"/>
          <w:sz w:val="32"/>
          <w:szCs w:val="32"/>
        </w:rPr>
        <w:t>日期</w:t>
      </w:r>
      <w:r>
        <w:rPr>
          <w:rFonts w:hint="eastAsia" w:ascii="仿宋" w:hAnsi="仿宋" w:eastAsia="仿宋"/>
          <w:kern w:val="0"/>
          <w:sz w:val="32"/>
          <w:szCs w:val="32"/>
        </w:rPr>
        <w:t xml:space="preserve">：  </w:t>
      </w:r>
      <w:r>
        <w:rPr>
          <w:rFonts w:hint="eastAsia" w:ascii="仿宋" w:hAnsi="仿宋" w:eastAsia="仿宋"/>
          <w:kern w:val="0"/>
          <w:sz w:val="32"/>
          <w:szCs w:val="32"/>
          <w:u w:val="single"/>
        </w:rPr>
        <w:t xml:space="preserve">          2022年</w:t>
      </w:r>
      <w:r>
        <w:rPr>
          <w:rFonts w:ascii="仿宋" w:hAnsi="仿宋" w:eastAsia="仿宋"/>
          <w:kern w:val="0"/>
          <w:sz w:val="32"/>
          <w:szCs w:val="32"/>
          <w:u w:val="single"/>
        </w:rPr>
        <w:t>10</w:t>
      </w:r>
      <w:r>
        <w:rPr>
          <w:rFonts w:hint="eastAsia" w:ascii="仿宋" w:hAnsi="仿宋" w:eastAsia="仿宋"/>
          <w:kern w:val="0"/>
          <w:sz w:val="32"/>
          <w:szCs w:val="32"/>
          <w:u w:val="single"/>
        </w:rPr>
        <w:t>月</w:t>
      </w:r>
      <w:r>
        <w:rPr>
          <w:rFonts w:ascii="仿宋" w:hAnsi="仿宋" w:eastAsia="仿宋"/>
          <w:kern w:val="0"/>
          <w:sz w:val="32"/>
          <w:szCs w:val="32"/>
          <w:u w:val="single"/>
        </w:rPr>
        <w:t>14</w:t>
      </w:r>
      <w:r>
        <w:rPr>
          <w:rFonts w:hint="eastAsia" w:ascii="仿宋" w:hAnsi="仿宋" w:eastAsia="仿宋"/>
          <w:kern w:val="0"/>
          <w:sz w:val="32"/>
          <w:szCs w:val="32"/>
          <w:u w:val="single"/>
        </w:rPr>
        <w:t xml:space="preserve">日                </w:t>
      </w:r>
    </w:p>
    <w:p>
      <w:pPr>
        <w:spacing w:line="560" w:lineRule="exact"/>
        <w:jc w:val="center"/>
        <w:rPr>
          <w:rFonts w:ascii="仿宋" w:hAnsi="仿宋" w:eastAsia="仿宋"/>
          <w:sz w:val="32"/>
          <w:szCs w:val="32"/>
        </w:rPr>
      </w:pPr>
    </w:p>
    <w:p>
      <w:pPr>
        <w:spacing w:line="560" w:lineRule="exact"/>
        <w:jc w:val="center"/>
        <w:rPr>
          <w:rFonts w:ascii="仿宋" w:hAnsi="仿宋" w:eastAsia="仿宋"/>
          <w:sz w:val="32"/>
          <w:szCs w:val="32"/>
        </w:rPr>
      </w:pPr>
    </w:p>
    <w:p>
      <w:pPr>
        <w:spacing w:line="560" w:lineRule="exact"/>
        <w:jc w:val="center"/>
        <w:rPr>
          <w:rFonts w:ascii="仿宋" w:hAnsi="仿宋" w:eastAsia="仿宋"/>
          <w:sz w:val="32"/>
          <w:szCs w:val="32"/>
        </w:rPr>
      </w:pPr>
    </w:p>
    <w:p>
      <w:pPr>
        <w:spacing w:line="560" w:lineRule="exact"/>
        <w:jc w:val="center"/>
        <w:rPr>
          <w:rFonts w:ascii="仿宋" w:hAnsi="仿宋" w:eastAsia="仿宋"/>
          <w:sz w:val="32"/>
          <w:szCs w:val="32"/>
        </w:rPr>
      </w:pPr>
    </w:p>
    <w:p>
      <w:pPr>
        <w:spacing w:line="560" w:lineRule="exact"/>
        <w:jc w:val="center"/>
        <w:rPr>
          <w:rFonts w:ascii="仿宋" w:hAnsi="仿宋" w:eastAsia="仿宋"/>
          <w:sz w:val="32"/>
          <w:szCs w:val="32"/>
        </w:rPr>
      </w:pPr>
    </w:p>
    <w:p>
      <w:pPr>
        <w:spacing w:line="560" w:lineRule="exact"/>
        <w:jc w:val="center"/>
        <w:rPr>
          <w:rFonts w:ascii="仿宋" w:hAnsi="仿宋" w:eastAsia="仿宋"/>
          <w:sz w:val="32"/>
          <w:szCs w:val="32"/>
        </w:rPr>
      </w:pPr>
    </w:p>
    <w:p>
      <w:pPr>
        <w:spacing w:line="560" w:lineRule="exact"/>
        <w:jc w:val="center"/>
        <w:rPr>
          <w:rFonts w:ascii="仿宋" w:hAnsi="仿宋" w:eastAsia="仿宋"/>
          <w:sz w:val="32"/>
          <w:szCs w:val="32"/>
        </w:rPr>
      </w:pPr>
    </w:p>
    <w:p>
      <w:pPr>
        <w:spacing w:line="560" w:lineRule="exact"/>
        <w:ind w:firstLine="640" w:firstLineChars="200"/>
        <w:rPr>
          <w:rFonts w:ascii="仿宋" w:hAnsi="仿宋" w:eastAsia="仿宋"/>
          <w:sz w:val="44"/>
          <w:szCs w:val="44"/>
        </w:rPr>
        <w:sectPr>
          <w:footerReference r:id="rId3" w:type="first"/>
          <w:pgSz w:w="11906" w:h="16838"/>
          <w:pgMar w:top="1440" w:right="1800" w:bottom="1440" w:left="1800" w:header="851" w:footer="992" w:gutter="0"/>
          <w:cols w:space="720" w:num="1"/>
          <w:docGrid w:type="lines" w:linePitch="312" w:charSpace="0"/>
        </w:sectPr>
      </w:pPr>
      <w:r>
        <w:rPr>
          <w:rFonts w:hint="eastAsia" w:ascii="仿宋" w:hAnsi="仿宋" w:eastAsia="仿宋"/>
          <w:sz w:val="32"/>
          <w:szCs w:val="32"/>
        </w:rPr>
        <w:t>注：所有项目建设方案编制必须按照上述要求填写，若方案编制与提纲不符，我局有权不予受理。</w:t>
      </w:r>
    </w:p>
    <w:p>
      <w:pPr>
        <w:jc w:val="center"/>
        <w:rPr>
          <w:b/>
          <w:bCs/>
          <w:sz w:val="32"/>
          <w:szCs w:val="32"/>
        </w:rPr>
      </w:pPr>
      <w:r>
        <w:rPr>
          <w:rFonts w:ascii="宋体" w:hAnsi="宋体"/>
          <w:b/>
          <w:bCs/>
          <w:sz w:val="32"/>
          <w:szCs w:val="32"/>
        </w:rPr>
        <w:t>目</w:t>
      </w:r>
      <w:r>
        <w:rPr>
          <w:rFonts w:hint="eastAsia" w:ascii="宋体" w:hAnsi="宋体"/>
          <w:b/>
          <w:bCs/>
          <w:sz w:val="32"/>
          <w:szCs w:val="32"/>
        </w:rPr>
        <w:t xml:space="preserve">  </w:t>
      </w:r>
      <w:r>
        <w:rPr>
          <w:rFonts w:ascii="宋体" w:hAnsi="宋体"/>
          <w:b/>
          <w:bCs/>
          <w:sz w:val="32"/>
          <w:szCs w:val="32"/>
        </w:rPr>
        <w:t>录</w:t>
      </w:r>
    </w:p>
    <w:p>
      <w:pPr>
        <w:pStyle w:val="17"/>
        <w:tabs>
          <w:tab w:val="right" w:leader="dot" w:pos="8312"/>
        </w:tabs>
        <w:rPr>
          <w:rFonts w:ascii="宋体" w:hAnsi="宋体" w:cs="宋体"/>
          <w:sz w:val="28"/>
          <w:szCs w:val="28"/>
        </w:rPr>
      </w:pPr>
      <w:r>
        <w:rPr>
          <w:rFonts w:hint="eastAsia" w:ascii="宋体" w:hAnsi="宋体" w:cs="宋体"/>
          <w:kern w:val="44"/>
          <w:sz w:val="24"/>
          <w:szCs w:val="24"/>
        </w:rPr>
        <w:fldChar w:fldCharType="begin"/>
      </w:r>
      <w:r>
        <w:rPr>
          <w:rFonts w:hint="eastAsia" w:ascii="宋体" w:hAnsi="宋体" w:cs="宋体"/>
          <w:kern w:val="44"/>
          <w:sz w:val="24"/>
          <w:szCs w:val="24"/>
        </w:rPr>
        <w:instrText xml:space="preserve">TOC \o "1-2" \h \u </w:instrText>
      </w:r>
      <w:r>
        <w:rPr>
          <w:rFonts w:hint="eastAsia" w:ascii="宋体" w:hAnsi="宋体" w:cs="宋体"/>
          <w:kern w:val="44"/>
          <w:sz w:val="24"/>
          <w:szCs w:val="24"/>
        </w:rPr>
        <w:fldChar w:fldCharType="separate"/>
      </w:r>
      <w:r>
        <w:fldChar w:fldCharType="begin"/>
      </w:r>
      <w:r>
        <w:instrText xml:space="preserve"> HYPERLINK \l "_Toc26508" </w:instrText>
      </w:r>
      <w:r>
        <w:fldChar w:fldCharType="separate"/>
      </w:r>
      <w:r>
        <w:rPr>
          <w:rFonts w:hint="eastAsia" w:ascii="宋体" w:hAnsi="宋体" w:cs="宋体"/>
          <w:kern w:val="44"/>
          <w:sz w:val="28"/>
          <w:szCs w:val="28"/>
        </w:rPr>
        <w:t>第一章 项目概述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_Toc26508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"_Toc5957" </w:instrText>
      </w:r>
      <w:r>
        <w:fldChar w:fldCharType="separate"/>
      </w:r>
      <w:r>
        <w:rPr>
          <w:rFonts w:hint="eastAsia" w:ascii="宋体" w:hAnsi="宋体" w:cs="宋体"/>
          <w:bCs/>
          <w:sz w:val="28"/>
          <w:szCs w:val="28"/>
        </w:rPr>
        <w:t>1、项目名称</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_Toc5957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8312"/>
        </w:tabs>
        <w:rPr>
          <w:rFonts w:ascii="宋体" w:hAnsi="宋体" w:cs="宋体"/>
          <w:sz w:val="28"/>
          <w:szCs w:val="28"/>
        </w:rPr>
      </w:pPr>
      <w:r>
        <w:fldChar w:fldCharType="begin"/>
      </w:r>
      <w:r>
        <w:instrText xml:space="preserve"> HYPERLINK \l "_Toc23304" </w:instrText>
      </w:r>
      <w:r>
        <w:fldChar w:fldCharType="separate"/>
      </w:r>
      <w:r>
        <w:rPr>
          <w:rFonts w:hint="eastAsia" w:ascii="宋体" w:hAnsi="宋体" w:cs="宋体"/>
          <w:sz w:val="28"/>
          <w:szCs w:val="28"/>
        </w:rPr>
        <w:t>第二章 业务需求分析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_Toc23304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"_Toc4837" </w:instrText>
      </w:r>
      <w:r>
        <w:fldChar w:fldCharType="separate"/>
      </w:r>
      <w:r>
        <w:rPr>
          <w:rFonts w:hint="eastAsia" w:ascii="宋体" w:hAnsi="宋体" w:cs="宋体"/>
          <w:bCs/>
          <w:sz w:val="28"/>
          <w:szCs w:val="28"/>
        </w:rPr>
        <w:t>2.1资质需求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_Toc4837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"_Toc11792" </w:instrText>
      </w:r>
      <w:r>
        <w:fldChar w:fldCharType="separate"/>
      </w:r>
      <w:r>
        <w:rPr>
          <w:rFonts w:hint="eastAsia" w:ascii="宋体" w:hAnsi="宋体" w:cs="宋体"/>
          <w:bCs/>
          <w:sz w:val="28"/>
          <w:szCs w:val="28"/>
        </w:rPr>
        <w:t>2.2场地设置</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_Toc11792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"_Toc28605" </w:instrText>
      </w:r>
      <w:r>
        <w:fldChar w:fldCharType="separate"/>
      </w:r>
      <w:r>
        <w:rPr>
          <w:rFonts w:hint="eastAsia" w:ascii="宋体" w:hAnsi="宋体" w:cs="宋体"/>
          <w:bCs/>
          <w:sz w:val="28"/>
          <w:szCs w:val="28"/>
        </w:rPr>
        <w:t>2.3人员要求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_Toc28605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"_Toc7897" </w:instrText>
      </w:r>
      <w:r>
        <w:fldChar w:fldCharType="separate"/>
      </w:r>
      <w:r>
        <w:rPr>
          <w:rFonts w:hint="eastAsia" w:ascii="宋体" w:hAnsi="宋体" w:cs="宋体"/>
          <w:bCs/>
          <w:sz w:val="28"/>
          <w:szCs w:val="28"/>
        </w:rPr>
        <w:t>2.4技术要求</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_Toc7897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8312"/>
        </w:tabs>
        <w:rPr>
          <w:rFonts w:ascii="宋体" w:hAnsi="宋体" w:cs="宋体"/>
          <w:sz w:val="28"/>
          <w:szCs w:val="28"/>
        </w:rPr>
      </w:pPr>
      <w:r>
        <w:fldChar w:fldCharType="begin"/>
      </w:r>
      <w:r>
        <w:instrText xml:space="preserve"> HYPERLINK \l "_Toc27665" </w:instrText>
      </w:r>
      <w:r>
        <w:fldChar w:fldCharType="separate"/>
      </w:r>
      <w:r>
        <w:rPr>
          <w:rFonts w:hint="eastAsia" w:ascii="宋体" w:hAnsi="宋体" w:cs="宋体"/>
          <w:sz w:val="28"/>
          <w:szCs w:val="28"/>
        </w:rPr>
        <w:t>第三章 总体建设方案</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_Toc27665 \h </w:instrText>
      </w:r>
      <w:r>
        <w:rPr>
          <w:rFonts w:hint="eastAsia" w:ascii="宋体" w:hAnsi="宋体" w:cs="宋体"/>
          <w:sz w:val="28"/>
          <w:szCs w:val="28"/>
        </w:rPr>
        <w:fldChar w:fldCharType="separate"/>
      </w:r>
      <w:r>
        <w:rPr>
          <w:rFonts w:hint="eastAsia"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8312"/>
        </w:tabs>
        <w:rPr>
          <w:rFonts w:ascii="宋体" w:hAnsi="宋体" w:cs="宋体"/>
          <w:sz w:val="28"/>
          <w:szCs w:val="28"/>
        </w:rPr>
      </w:pPr>
      <w:r>
        <w:fldChar w:fldCharType="begin"/>
      </w:r>
      <w:r>
        <w:instrText xml:space="preserve"> HYPERLINK \l "_Toc4081" </w:instrText>
      </w:r>
      <w:r>
        <w:fldChar w:fldCharType="separate"/>
      </w:r>
      <w:r>
        <w:rPr>
          <w:rFonts w:hint="eastAsia" w:ascii="宋体" w:hAnsi="宋体" w:cs="宋体"/>
          <w:sz w:val="28"/>
          <w:szCs w:val="28"/>
        </w:rPr>
        <w:t>第四章 本期项目建设方案</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_Toc4081 \h </w:instrText>
      </w:r>
      <w:r>
        <w:rPr>
          <w:rFonts w:hint="eastAsia" w:ascii="宋体" w:hAnsi="宋体" w:cs="宋体"/>
          <w:sz w:val="28"/>
          <w:szCs w:val="28"/>
        </w:rPr>
        <w:fldChar w:fldCharType="separate"/>
      </w:r>
      <w:r>
        <w:rPr>
          <w:rFonts w:hint="eastAsia"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8312"/>
        </w:tabs>
        <w:rPr>
          <w:rFonts w:ascii="宋体" w:hAnsi="宋体" w:cs="宋体"/>
          <w:sz w:val="28"/>
          <w:szCs w:val="28"/>
        </w:rPr>
      </w:pPr>
      <w:r>
        <w:fldChar w:fldCharType="begin"/>
      </w:r>
      <w:r>
        <w:instrText xml:space="preserve"> HYPERLINK \l "_Toc24760" </w:instrText>
      </w:r>
      <w:r>
        <w:fldChar w:fldCharType="separate"/>
      </w:r>
      <w:r>
        <w:rPr>
          <w:rFonts w:hint="eastAsia" w:ascii="宋体" w:hAnsi="宋体" w:cs="宋体"/>
          <w:sz w:val="28"/>
          <w:szCs w:val="28"/>
        </w:rPr>
        <w:t>第五章 项目运维管理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_Toc24760 \h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"_Toc15715" </w:instrText>
      </w:r>
      <w:r>
        <w:fldChar w:fldCharType="separate"/>
      </w:r>
      <w:r>
        <w:rPr>
          <w:rFonts w:hint="eastAsia" w:ascii="宋体" w:hAnsi="宋体" w:cs="宋体"/>
          <w:sz w:val="28"/>
          <w:szCs w:val="28"/>
        </w:rPr>
        <w:t>5.1人员培训方案</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_Toc15715 \h </w:instrText>
      </w:r>
      <w:r>
        <w:rPr>
          <w:rFonts w:hint="eastAsia" w:ascii="宋体" w:hAnsi="宋体" w:cs="宋体"/>
          <w:sz w:val="28"/>
          <w:szCs w:val="28"/>
        </w:rPr>
        <w:fldChar w:fldCharType="separate"/>
      </w:r>
      <w:r>
        <w:rPr>
          <w:rFonts w:hint="eastAsia" w:ascii="宋体" w:hAnsi="宋体" w:cs="宋体"/>
          <w:sz w:val="28"/>
          <w:szCs w:val="28"/>
        </w:rPr>
        <w:t>15</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"_Toc13934" </w:instrText>
      </w:r>
      <w:r>
        <w:fldChar w:fldCharType="separate"/>
      </w:r>
      <w:r>
        <w:rPr>
          <w:rFonts w:hint="eastAsia" w:ascii="宋体" w:hAnsi="宋体" w:cs="宋体"/>
          <w:sz w:val="28"/>
          <w:szCs w:val="28"/>
        </w:rPr>
        <w:t>5.2项目运维</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_Toc13934 \h </w:instrText>
      </w:r>
      <w:r>
        <w:rPr>
          <w:rFonts w:hint="eastAsia" w:ascii="宋体" w:hAnsi="宋体" w:cs="宋体"/>
          <w:sz w:val="28"/>
          <w:szCs w:val="28"/>
        </w:rPr>
        <w:fldChar w:fldCharType="separate"/>
      </w:r>
      <w:r>
        <w:rPr>
          <w:rFonts w:hint="eastAsia" w:ascii="宋体" w:hAnsi="宋体" w:cs="宋体"/>
          <w:sz w:val="28"/>
          <w:szCs w:val="28"/>
        </w:rPr>
        <w:t>16</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8312"/>
        </w:tabs>
        <w:rPr>
          <w:rFonts w:ascii="宋体" w:hAnsi="宋体" w:cs="宋体"/>
          <w:sz w:val="28"/>
          <w:szCs w:val="28"/>
        </w:rPr>
      </w:pPr>
      <w:r>
        <w:fldChar w:fldCharType="begin"/>
      </w:r>
      <w:r>
        <w:instrText xml:space="preserve"> HYPERLINK \l "_Toc3990" </w:instrText>
      </w:r>
      <w:r>
        <w:fldChar w:fldCharType="separate"/>
      </w:r>
      <w:r>
        <w:rPr>
          <w:rFonts w:hint="eastAsia" w:ascii="宋体" w:hAnsi="宋体" w:cs="宋体"/>
          <w:sz w:val="28"/>
          <w:szCs w:val="28"/>
        </w:rPr>
        <w:t>第六章  效益与评价指标分析</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_Toc3990 \h </w:instrText>
      </w:r>
      <w:r>
        <w:rPr>
          <w:rFonts w:hint="eastAsia" w:ascii="宋体" w:hAnsi="宋体" w:cs="宋体"/>
          <w:sz w:val="28"/>
          <w:szCs w:val="28"/>
        </w:rPr>
        <w:fldChar w:fldCharType="separate"/>
      </w:r>
      <w:r>
        <w:rPr>
          <w:rFonts w:hint="eastAsia" w:ascii="宋体" w:hAnsi="宋体" w:cs="宋体"/>
          <w:sz w:val="28"/>
          <w:szCs w:val="28"/>
        </w:rPr>
        <w:t>17</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"_Toc8951" </w:instrText>
      </w:r>
      <w:r>
        <w:fldChar w:fldCharType="separate"/>
      </w:r>
      <w:r>
        <w:rPr>
          <w:rFonts w:hint="eastAsia" w:ascii="宋体" w:hAnsi="宋体" w:cs="宋体"/>
          <w:bCs/>
          <w:sz w:val="28"/>
          <w:szCs w:val="28"/>
        </w:rPr>
        <w:t>6.1收费标准</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_Toc8951 \h </w:instrText>
      </w:r>
      <w:r>
        <w:rPr>
          <w:rFonts w:hint="eastAsia" w:ascii="宋体" w:hAnsi="宋体" w:cs="宋体"/>
          <w:sz w:val="28"/>
          <w:szCs w:val="28"/>
        </w:rPr>
        <w:fldChar w:fldCharType="separate"/>
      </w:r>
      <w:r>
        <w:rPr>
          <w:rFonts w:hint="eastAsia" w:ascii="宋体" w:hAnsi="宋体" w:cs="宋体"/>
          <w:sz w:val="28"/>
          <w:szCs w:val="28"/>
        </w:rPr>
        <w:t>17</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"_Toc2358" </w:instrText>
      </w:r>
      <w:r>
        <w:fldChar w:fldCharType="separate"/>
      </w:r>
      <w:r>
        <w:rPr>
          <w:rFonts w:hint="eastAsia" w:ascii="宋体" w:hAnsi="宋体" w:cs="宋体"/>
          <w:bCs/>
          <w:sz w:val="28"/>
          <w:szCs w:val="28"/>
        </w:rPr>
        <w:t>6.2社会效益</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_Toc2358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pPr>
        <w:pStyle w:val="18"/>
        <w:tabs>
          <w:tab w:val="right" w:leader="dot" w:pos="8312"/>
        </w:tabs>
        <w:rPr>
          <w:rFonts w:ascii="宋体" w:hAnsi="宋体" w:cs="宋体"/>
          <w:sz w:val="28"/>
          <w:szCs w:val="28"/>
        </w:rPr>
      </w:pPr>
      <w:r>
        <w:fldChar w:fldCharType="begin"/>
      </w:r>
      <w:r>
        <w:instrText xml:space="preserve"> HYPERLINK \l "_Toc16008" </w:instrText>
      </w:r>
      <w:r>
        <w:fldChar w:fldCharType="separate"/>
      </w:r>
      <w:r>
        <w:rPr>
          <w:rFonts w:hint="eastAsia" w:ascii="宋体" w:hAnsi="宋体" w:cs="宋体"/>
          <w:bCs/>
          <w:sz w:val="28"/>
          <w:szCs w:val="28"/>
        </w:rPr>
        <w:t>6.3经济效益</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_Toc16008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pPr>
        <w:pStyle w:val="17"/>
        <w:tabs>
          <w:tab w:val="right" w:leader="dot" w:pos="8312"/>
        </w:tabs>
        <w:rPr>
          <w:rFonts w:ascii="宋体" w:hAnsi="宋体" w:cs="宋体"/>
          <w:sz w:val="24"/>
          <w:szCs w:val="24"/>
        </w:rPr>
      </w:pPr>
      <w:r>
        <w:fldChar w:fldCharType="begin"/>
      </w:r>
      <w:r>
        <w:instrText xml:space="preserve"> HYPERLINK \l "_Toc19157" </w:instrText>
      </w:r>
      <w:r>
        <w:fldChar w:fldCharType="separate"/>
      </w:r>
      <w:r>
        <w:rPr>
          <w:rFonts w:hint="eastAsia" w:ascii="宋体" w:hAnsi="宋体" w:cs="宋体"/>
          <w:sz w:val="28"/>
          <w:szCs w:val="28"/>
        </w:rPr>
        <w:t>第七章 注意事项</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_Toc19157 \h </w:instrText>
      </w:r>
      <w:r>
        <w:rPr>
          <w:rFonts w:hint="eastAsia" w:ascii="宋体" w:hAnsi="宋体" w:cs="宋体"/>
          <w:sz w:val="28"/>
          <w:szCs w:val="28"/>
        </w:rPr>
        <w:fldChar w:fldCharType="separate"/>
      </w:r>
      <w:r>
        <w:rPr>
          <w:rFonts w:hint="eastAsia"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fldChar w:fldCharType="end"/>
      </w:r>
    </w:p>
    <w:p>
      <w:pPr>
        <w:spacing w:line="560" w:lineRule="exact"/>
        <w:jc w:val="center"/>
        <w:rPr>
          <w:rFonts w:ascii="仿宋" w:hAnsi="仿宋" w:eastAsia="仿宋" w:cs="仿宋"/>
          <w:kern w:val="44"/>
          <w:sz w:val="44"/>
          <w:szCs w:val="44"/>
        </w:rPr>
      </w:pPr>
      <w:r>
        <w:rPr>
          <w:rFonts w:hint="eastAsia" w:ascii="宋体" w:hAnsi="宋体" w:cs="宋体"/>
          <w:kern w:val="44"/>
          <w:sz w:val="24"/>
          <w:szCs w:val="24"/>
        </w:rPr>
        <w:fldChar w:fldCharType="end"/>
      </w:r>
    </w:p>
    <w:p>
      <w:pPr>
        <w:spacing w:line="560" w:lineRule="exact"/>
        <w:jc w:val="center"/>
        <w:outlineLvl w:val="0"/>
        <w:rPr>
          <w:rFonts w:ascii="仿宋" w:hAnsi="仿宋" w:eastAsia="仿宋" w:cs="仿宋"/>
          <w:kern w:val="44"/>
          <w:sz w:val="44"/>
          <w:szCs w:val="44"/>
        </w:rPr>
      </w:pPr>
      <w:bookmarkStart w:id="0" w:name="_Toc26508"/>
      <w:r>
        <w:rPr>
          <w:rFonts w:hint="eastAsia" w:ascii="仿宋" w:hAnsi="仿宋" w:eastAsia="仿宋" w:cs="仿宋"/>
          <w:kern w:val="44"/>
          <w:sz w:val="44"/>
          <w:szCs w:val="44"/>
        </w:rPr>
        <w:t>第一章 项目概述</w:t>
      </w:r>
      <w:bookmarkEnd w:id="0"/>
    </w:p>
    <w:p>
      <w:pPr>
        <w:pStyle w:val="5"/>
        <w:rPr>
          <w:b w:val="0"/>
          <w:bCs/>
        </w:rPr>
      </w:pPr>
      <w:bookmarkStart w:id="1" w:name="_Toc24536"/>
      <w:bookmarkStart w:id="2" w:name="_Toc517216950"/>
      <w:bookmarkStart w:id="3" w:name="_Toc5957"/>
      <w:r>
        <w:rPr>
          <w:b w:val="0"/>
          <w:bCs/>
        </w:rPr>
        <w:t>1.1</w:t>
      </w:r>
      <w:r>
        <w:rPr>
          <w:rFonts w:hint="eastAsia"/>
          <w:b w:val="0"/>
          <w:bCs/>
        </w:rPr>
        <w:t>项目名称</w:t>
      </w:r>
      <w:bookmarkEnd w:id="1"/>
      <w:bookmarkEnd w:id="2"/>
      <w:bookmarkEnd w:id="3"/>
    </w:p>
    <w:p>
      <w:pPr>
        <w:spacing w:line="520" w:lineRule="exact"/>
        <w:ind w:firstLine="560"/>
        <w:rPr>
          <w:sz w:val="28"/>
          <w:szCs w:val="28"/>
        </w:rPr>
      </w:pPr>
      <w:r>
        <w:rPr>
          <w:rFonts w:hint="eastAsia" w:ascii="仿宋_GB2312" w:hAnsi="仿宋_GB2312" w:eastAsia="仿宋_GB2312" w:cs="仿宋_GB2312"/>
          <w:color w:val="000000"/>
          <w:sz w:val="28"/>
          <w:szCs w:val="28"/>
          <w:lang w:eastAsia="zh-CN"/>
        </w:rPr>
        <w:t>马鞍山市人民医院脑健康认知测评平台及认知功能康复训练与评估</w:t>
      </w:r>
      <w:r>
        <w:rPr>
          <w:rFonts w:hint="eastAsia" w:ascii="仿宋_GB2312" w:hAnsi="仿宋_GB2312" w:eastAsia="仿宋_GB2312" w:cs="仿宋_GB2312"/>
          <w:color w:val="000000"/>
          <w:sz w:val="28"/>
          <w:szCs w:val="28"/>
        </w:rPr>
        <w:t>建设项目</w:t>
      </w:r>
      <w:bookmarkStart w:id="4" w:name="_Toc517216952"/>
    </w:p>
    <w:bookmarkEnd w:id="4"/>
    <w:p>
      <w:pPr>
        <w:pStyle w:val="4"/>
        <w:numPr>
          <w:ilvl w:val="0"/>
          <w:numId w:val="1"/>
        </w:numPr>
        <w:jc w:val="center"/>
        <w:rPr>
          <w:rFonts w:ascii="仿宋" w:hAnsi="仿宋" w:eastAsia="仿宋" w:cs="仿宋"/>
          <w:b w:val="0"/>
          <w:bCs/>
          <w:szCs w:val="44"/>
        </w:rPr>
      </w:pPr>
      <w:bookmarkStart w:id="5" w:name="_Toc23304"/>
      <w:r>
        <w:rPr>
          <w:rFonts w:hint="eastAsia" w:ascii="仿宋" w:hAnsi="仿宋" w:eastAsia="仿宋" w:cs="仿宋"/>
          <w:b w:val="0"/>
          <w:bCs/>
          <w:szCs w:val="44"/>
        </w:rPr>
        <w:t>业务需求分析</w:t>
      </w:r>
      <w:bookmarkEnd w:id="5"/>
    </w:p>
    <w:p>
      <w:pPr>
        <w:pStyle w:val="5"/>
        <w:rPr>
          <w:b w:val="0"/>
          <w:bCs/>
        </w:rPr>
      </w:pPr>
      <w:bookmarkStart w:id="6" w:name="_Toc4837"/>
      <w:bookmarkStart w:id="7" w:name="_Toc65857291"/>
      <w:r>
        <w:rPr>
          <w:rFonts w:hint="eastAsia"/>
          <w:b w:val="0"/>
          <w:bCs/>
        </w:rPr>
        <w:t>2.1资质需求</w:t>
      </w:r>
      <w:bookmarkEnd w:id="6"/>
      <w:bookmarkEnd w:id="7"/>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证书：机构的《医疗执业许可证》在有效期内，且执业行为在许可范围内；完成脑健康体检规范化培训；具有相关临床工作经验，可独立完成临床评定量表；负责脑健康体检中心日常工作的组织和管理。</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机构开设以下科室：精神科、心理科、心身医学科、临床心理科、睡眠中心、神经内科、康复科等；</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机构须具备精神疾病诊断、治疗和康复的能力。</w:t>
      </w:r>
    </w:p>
    <w:p>
      <w:pPr>
        <w:pStyle w:val="5"/>
        <w:rPr>
          <w:b w:val="0"/>
          <w:bCs/>
        </w:rPr>
      </w:pPr>
      <w:bookmarkStart w:id="8" w:name="_Toc11792"/>
      <w:bookmarkStart w:id="9" w:name="_Toc65857292"/>
      <w:r>
        <w:rPr>
          <w:rFonts w:hint="eastAsia"/>
          <w:b w:val="0"/>
          <w:bCs/>
        </w:rPr>
        <w:t>2.2场地设置</w:t>
      </w:r>
      <w:bookmarkEnd w:id="8"/>
      <w:bookmarkEnd w:id="9"/>
    </w:p>
    <w:p>
      <w:pPr>
        <w:spacing w:line="520" w:lineRule="exact"/>
        <w:rPr>
          <w:rFonts w:ascii="仿宋_GB2312" w:hAnsi="仿宋_GB2312" w:eastAsia="仿宋_GB2312" w:cs="仿宋_GB2312"/>
          <w:color w:val="000000"/>
          <w:sz w:val="28"/>
          <w:szCs w:val="28"/>
        </w:rPr>
      </w:pPr>
      <w:bookmarkStart w:id="10" w:name="_Toc28605"/>
      <w:bookmarkStart w:id="11" w:name="_Toc65857293"/>
      <w:r>
        <w:rPr>
          <w:rFonts w:hint="eastAsia" w:ascii="仿宋_GB2312" w:hAnsi="仿宋_GB2312" w:eastAsia="仿宋_GB2312" w:cs="仿宋_GB2312"/>
          <w:color w:val="000000"/>
          <w:sz w:val="28"/>
          <w:szCs w:val="28"/>
        </w:rPr>
        <w:t>2</w:t>
      </w:r>
      <w:r>
        <w:rPr>
          <w:rFonts w:ascii="仿宋_GB2312" w:hAnsi="仿宋_GB2312" w:eastAsia="仿宋_GB2312" w:cs="仿宋_GB2312"/>
          <w:color w:val="000000"/>
          <w:sz w:val="28"/>
          <w:szCs w:val="28"/>
        </w:rPr>
        <w:t>.2.1</w:t>
      </w:r>
      <w:r>
        <w:rPr>
          <w:rFonts w:hint="eastAsia" w:ascii="仿宋_GB2312" w:hAnsi="仿宋_GB2312" w:eastAsia="仿宋_GB2312" w:cs="仿宋_GB2312"/>
          <w:color w:val="000000"/>
          <w:sz w:val="28"/>
          <w:szCs w:val="28"/>
        </w:rPr>
        <w:t>场地面积：</w:t>
      </w:r>
    </w:p>
    <w:p>
      <w:pPr>
        <w:spacing w:line="52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10</w:t>
      </w:r>
      <w:r>
        <w:rPr>
          <w:rFonts w:hint="eastAsia" w:ascii="仿宋_GB2312" w:hAnsi="仿宋_GB2312" w:eastAsia="仿宋_GB2312" w:cs="仿宋_GB2312"/>
          <w:color w:val="000000"/>
          <w:sz w:val="28"/>
          <w:szCs w:val="28"/>
        </w:rPr>
        <w:t>平方米左右的独立诊疗室。</w:t>
      </w:r>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r>
        <w:rPr>
          <w:rFonts w:ascii="仿宋_GB2312" w:hAnsi="仿宋_GB2312" w:eastAsia="仿宋_GB2312" w:cs="仿宋_GB2312"/>
          <w:color w:val="000000"/>
          <w:sz w:val="28"/>
          <w:szCs w:val="28"/>
        </w:rPr>
        <w:t>.2.2</w:t>
      </w:r>
      <w:r>
        <w:rPr>
          <w:rFonts w:hint="eastAsia" w:ascii="仿宋_GB2312" w:hAnsi="仿宋_GB2312" w:eastAsia="仿宋_GB2312" w:cs="仿宋_GB2312"/>
          <w:color w:val="000000"/>
          <w:sz w:val="28"/>
          <w:szCs w:val="28"/>
        </w:rPr>
        <w:t>配套设施：</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（1）隔断设置办公桌2张，打印机一部，用于医生评估、问诊、沟通、行为测评等工作；</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（2）稳定高带宽的WIFI无线网络环境，以满足受检者数据通过无线网络上传到脑健康体检后台存储；</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（3）脑健康体检机放置处预留单相220V 50HZ电源接口，满足设备的供电需求。</w:t>
      </w:r>
    </w:p>
    <w:p>
      <w:pPr>
        <w:pStyle w:val="5"/>
        <w:rPr>
          <w:b w:val="0"/>
          <w:bCs/>
        </w:rPr>
      </w:pPr>
      <w:r>
        <w:rPr>
          <w:rFonts w:hint="eastAsia"/>
          <w:b w:val="0"/>
          <w:bCs/>
        </w:rPr>
        <w:t>2.3人员要求</w:t>
      </w:r>
      <w:bookmarkEnd w:id="10"/>
      <w:bookmarkEnd w:id="11"/>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r>
        <w:rPr>
          <w:rFonts w:ascii="仿宋_GB2312" w:hAnsi="仿宋_GB2312" w:eastAsia="仿宋_GB2312" w:cs="仿宋_GB2312"/>
          <w:color w:val="000000"/>
          <w:sz w:val="28"/>
          <w:szCs w:val="28"/>
        </w:rPr>
        <w:t>.3.1</w:t>
      </w:r>
      <w:r>
        <w:rPr>
          <w:rFonts w:hint="eastAsia" w:ascii="仿宋_GB2312" w:hAnsi="仿宋_GB2312" w:eastAsia="仿宋_GB2312" w:cs="仿宋_GB2312"/>
          <w:color w:val="000000"/>
          <w:sz w:val="28"/>
          <w:szCs w:val="28"/>
        </w:rPr>
        <w:t>专业测评师</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名</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需取得《医师执业证书》，完成脑健康体检规范化培训；具有相关临床工作经验，可独立完成临床评定量表；负责脑健康体检中心日常工作的组织和管理。</w:t>
      </w:r>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r>
        <w:rPr>
          <w:rFonts w:ascii="仿宋_GB2312" w:hAnsi="仿宋_GB2312" w:eastAsia="仿宋_GB2312" w:cs="仿宋_GB2312"/>
          <w:color w:val="000000"/>
          <w:sz w:val="28"/>
          <w:szCs w:val="28"/>
        </w:rPr>
        <w:t>.3.2</w:t>
      </w:r>
      <w:r>
        <w:rPr>
          <w:rFonts w:hint="eastAsia" w:ascii="仿宋_GB2312" w:hAnsi="仿宋_GB2312" w:eastAsia="仿宋_GB2312" w:cs="仿宋_GB2312"/>
          <w:color w:val="000000"/>
          <w:sz w:val="28"/>
          <w:szCs w:val="28"/>
        </w:rPr>
        <w:t>专业咨询师1名</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需完成规范化及技术操作培训，负责为受检者及家属解答脑健康体检咨询、科普等相关问题；进行报告打印及后续诊断及康复建议，负责建立受检者诊疗档案，管理脑健康体检后台系统和设备机构的负责人最好为中级职称以上人员，有精神、心理、康复领域的学习经历；</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专业技术人员</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人（专职技术人员或者护理人员），必须由取得《护士资格证》和《执业证》的人员承担。</w:t>
      </w:r>
    </w:p>
    <w:p>
      <w:pPr>
        <w:pStyle w:val="5"/>
        <w:rPr>
          <w:b w:val="0"/>
          <w:bCs/>
        </w:rPr>
      </w:pPr>
      <w:bookmarkStart w:id="12" w:name="_Toc7897"/>
      <w:r>
        <w:rPr>
          <w:rFonts w:hint="eastAsia"/>
          <w:b w:val="0"/>
          <w:bCs/>
        </w:rPr>
        <w:t>2.4技术要求</w:t>
      </w:r>
      <w:bookmarkEnd w:id="12"/>
    </w:p>
    <w:p>
      <w:pPr>
        <w:pStyle w:val="41"/>
        <w:numPr>
          <w:ilvl w:val="0"/>
          <w:numId w:val="2"/>
        </w:numPr>
        <w:spacing w:line="520" w:lineRule="exact"/>
        <w:ind w:firstLineChars="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具有完备的认知功能评估管理系统，能够基于大脑认知老化发展规律研究成果和中国人群认知数据常模，以记忆、执行、注意、言语等高级认知功能为核心目标，将公认的具有较高诊断价值的神经认知评估科学内容内化于体检系统之中，可采集和分析脑健康风险相关数据，准确定位患者各项认知功能，并出具脑健康体检报告，从而辅助医疗诊断。</w:t>
      </w:r>
    </w:p>
    <w:p>
      <w:pPr>
        <w:pStyle w:val="41"/>
        <w:numPr>
          <w:ilvl w:val="0"/>
          <w:numId w:val="2"/>
        </w:numPr>
        <w:spacing w:line="520" w:lineRule="exact"/>
        <w:ind w:firstLineChars="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具有完备的认知功能评估专业采集端，实现记忆门诊、痴呆风险筛查、高级认知评估、临床精神心理测评，全套认知障碍评估，等80余项神经心理学测评量表。</w:t>
      </w:r>
    </w:p>
    <w:p>
      <w:pPr>
        <w:pStyle w:val="41"/>
        <w:numPr>
          <w:ilvl w:val="0"/>
          <w:numId w:val="2"/>
        </w:numPr>
        <w:spacing w:line="520" w:lineRule="exact"/>
        <w:ind w:firstLineChars="0"/>
        <w:rPr>
          <w:rStyle w:val="47"/>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具有完备的数据管理功能，包括</w:t>
      </w:r>
      <w:r>
        <w:rPr>
          <w:rStyle w:val="47"/>
          <w:rFonts w:hint="eastAsia" w:ascii="仿宋" w:hAnsi="仿宋" w:eastAsia="仿宋" w:cs="宋体"/>
          <w:sz w:val="28"/>
          <w:szCs w:val="28"/>
        </w:rPr>
        <w:t>数据查询：可查询测评报告内容和训练记录；数据导出：可导出测评与训练的明细数据，也可设置多维度筛选条件然后导出明细数据；医生管理：可创建医生管理账号，开通医生权限，查看医生工作动态。</w:t>
      </w:r>
    </w:p>
    <w:p>
      <w:pPr>
        <w:pStyle w:val="41"/>
        <w:numPr>
          <w:ilvl w:val="0"/>
          <w:numId w:val="2"/>
        </w:numPr>
        <w:spacing w:line="520" w:lineRule="exact"/>
        <w:ind w:firstLineChars="0"/>
        <w:rPr>
          <w:rStyle w:val="47"/>
          <w:rFonts w:ascii="仿宋_GB2312" w:hAnsi="仿宋_GB2312" w:eastAsia="仿宋_GB2312" w:cs="仿宋_GB2312"/>
          <w:color w:val="000000"/>
          <w:sz w:val="28"/>
          <w:szCs w:val="28"/>
        </w:rPr>
      </w:pPr>
      <w:r>
        <w:rPr>
          <w:rStyle w:val="47"/>
          <w:rFonts w:hint="eastAsia" w:ascii="仿宋" w:hAnsi="仿宋" w:eastAsia="仿宋" w:cs="宋体"/>
          <w:sz w:val="28"/>
          <w:szCs w:val="28"/>
        </w:rPr>
        <w:t>具有完备的数据传输功能，包括管理系统中的数据可以实时在线观察并同时存储为用于离线分析的数据文件；患者的数据可以实时在线观察并同时存储为用于离线分析的数据文件；可以支持数据在线/离线分析。</w:t>
      </w:r>
    </w:p>
    <w:p>
      <w:pPr>
        <w:pStyle w:val="41"/>
        <w:numPr>
          <w:ilvl w:val="0"/>
          <w:numId w:val="2"/>
        </w:numPr>
        <w:spacing w:line="520" w:lineRule="exact"/>
        <w:ind w:firstLineChars="0"/>
        <w:rPr>
          <w:rFonts w:ascii="仿宋_GB2312" w:hAnsi="仿宋_GB2312" w:eastAsia="仿宋_GB2312" w:cs="仿宋_GB2312"/>
          <w:color w:val="000000"/>
          <w:sz w:val="28"/>
          <w:szCs w:val="28"/>
        </w:rPr>
      </w:pPr>
      <w:r>
        <w:rPr>
          <w:rStyle w:val="47"/>
          <w:rFonts w:hint="eastAsia" w:ascii="仿宋" w:hAnsi="仿宋" w:eastAsia="仿宋" w:cs="宋体"/>
          <w:sz w:val="28"/>
          <w:szCs w:val="28"/>
        </w:rPr>
        <w:t>具有完备的认知康复训练功能，</w:t>
      </w:r>
      <w:r>
        <w:rPr>
          <w:rFonts w:hint="eastAsia" w:ascii="仿宋" w:hAnsi="仿宋" w:eastAsia="仿宋" w:cs="宋体"/>
          <w:sz w:val="28"/>
          <w:szCs w:val="28"/>
        </w:rPr>
        <w:t>包括医生端和患者端，医生端用于认知功能评估及训练管理，包括用户登陆、测评工具、训练方案、患者管理和数据管理模块；训练端，用于医院场景训练，包含用户登陆、康复训练和数据查看等模块。另可推送方案到微信公众号，让患者居家训练。医院就诊患者可以按天为单位进行医保收费。</w:t>
      </w:r>
    </w:p>
    <w:p>
      <w:pPr>
        <w:pStyle w:val="4"/>
        <w:jc w:val="center"/>
        <w:rPr>
          <w:rFonts w:ascii="仿宋" w:hAnsi="仿宋" w:eastAsia="仿宋" w:cs="仿宋"/>
          <w:b w:val="0"/>
          <w:szCs w:val="44"/>
        </w:rPr>
      </w:pPr>
      <w:bookmarkStart w:id="13" w:name="_Toc27665"/>
      <w:bookmarkStart w:id="14" w:name="_Toc8204"/>
      <w:r>
        <w:rPr>
          <w:rFonts w:hint="eastAsia" w:ascii="仿宋" w:hAnsi="仿宋" w:eastAsia="仿宋" w:cs="仿宋"/>
          <w:b w:val="0"/>
          <w:szCs w:val="44"/>
        </w:rPr>
        <w:t>第三章 总体建设方案</w:t>
      </w:r>
      <w:bookmarkEnd w:id="13"/>
      <w:bookmarkEnd w:id="14"/>
    </w:p>
    <w:p>
      <w:pPr>
        <w:pStyle w:val="5"/>
      </w:pPr>
      <w:r>
        <w:t>3.1</w:t>
      </w:r>
      <w:r>
        <w:rPr>
          <w:rFonts w:hint="eastAsia"/>
          <w:lang w:val="en-US" w:eastAsia="zh-CN"/>
        </w:rPr>
        <w:t>项目</w:t>
      </w:r>
      <w:r>
        <w:rPr>
          <w:rFonts w:hint="eastAsia"/>
        </w:rPr>
        <w:t>建设目标</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数字化记忆门诊是在传统记忆门诊基础上的全面升级，旨在将数字化辅助设备和电子化评估工具应用到病例建档、临床问诊、神经心理学评估、纵向回访等各个环节中，链接三级医院与一二级医院的认知障碍诊疗，让专病管理更加层次化、高效化的医疗模式。旨在早期诊断、识别和治疗痴呆及相关认知功能障碍患者，提供家庭护理教育、照料者培训的诊断—治疗—宣教-管理模式。</w:t>
      </w:r>
    </w:p>
    <w:p>
      <w:pPr>
        <w:pStyle w:val="5"/>
      </w:pPr>
      <w:r>
        <w:t>3.2</w:t>
      </w:r>
      <w:r>
        <w:rPr>
          <w:rFonts w:hint="eastAsia"/>
          <w:lang w:val="en-US" w:eastAsia="zh-CN"/>
        </w:rPr>
        <w:t>项目</w:t>
      </w:r>
      <w:r>
        <w:rPr>
          <w:rFonts w:hint="eastAsia"/>
        </w:rPr>
        <w:t>建设方案</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数字化记忆门诊相对传统记忆门诊更加普适化、层级化，要保证各级医院在认知障碍早期防控方面的良好协同，提高脑健康管理覆盖范围、效率及质量。</w:t>
      </w:r>
    </w:p>
    <w:p>
      <w:pPr>
        <w:spacing w:line="520" w:lineRule="exact"/>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3.2.1</w:t>
      </w:r>
      <w:r>
        <w:rPr>
          <w:rFonts w:hint="eastAsia" w:ascii="仿宋_GB2312" w:hAnsi="仿宋_GB2312" w:eastAsia="仿宋_GB2312" w:cs="仿宋_GB2312"/>
          <w:color w:val="000000"/>
          <w:sz w:val="28"/>
          <w:szCs w:val="28"/>
        </w:rPr>
        <w:t>门诊场地</w:t>
      </w:r>
    </w:p>
    <w:p>
      <w:pPr>
        <w:spacing w:line="52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门诊诊室设置记忆门诊，另建议设置面积为5-1</w:t>
      </w:r>
      <w:r>
        <w:rPr>
          <w:rFonts w:ascii="仿宋_GB2312" w:hAnsi="仿宋_GB2312" w:eastAsia="仿宋_GB2312" w:cs="仿宋_GB2312"/>
          <w:color w:val="000000"/>
          <w:sz w:val="28"/>
          <w:szCs w:val="28"/>
        </w:rPr>
        <w:t>0</w:t>
      </w:r>
      <w:r>
        <w:rPr>
          <w:rFonts w:hint="eastAsia" w:ascii="仿宋_GB2312" w:hAnsi="仿宋_GB2312" w:eastAsia="仿宋_GB2312" w:cs="仿宋_GB2312"/>
          <w:color w:val="000000"/>
          <w:sz w:val="28"/>
          <w:szCs w:val="28"/>
        </w:rPr>
        <w:t>平米认知评估及康复训练室，开展就诊快速筛查及神经认知、心理测评，非门诊时间可开展康复训练及教育指导。如满足条件可将评估与训练分开建设。</w:t>
      </w:r>
    </w:p>
    <w:p>
      <w:pPr>
        <w:spacing w:line="520" w:lineRule="exact"/>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3.2.2</w:t>
      </w:r>
      <w:r>
        <w:rPr>
          <w:rFonts w:hint="eastAsia" w:ascii="仿宋_GB2312" w:hAnsi="仿宋_GB2312" w:eastAsia="仿宋_GB2312" w:cs="仿宋_GB2312"/>
          <w:color w:val="000000"/>
          <w:sz w:val="28"/>
          <w:szCs w:val="28"/>
        </w:rPr>
        <w:t>人员配备</w:t>
      </w:r>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（1）神经心理评估师</w:t>
      </w:r>
    </w:p>
    <w:p>
      <w:pPr>
        <w:spacing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主要工作包括指导患者进行自助初筛、为患者做详细的多认知域神经心理学评估等，评估师应具备神经心理测评相关资质认证，应通过数字化记忆门诊培训和考核，能够熟练应用电子辅助设备对患者进行评估，为患者提供准确的评估结</w:t>
      </w:r>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果解读及相关指导。</w:t>
      </w:r>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（2）认知康复师</w:t>
      </w:r>
    </w:p>
    <w:p>
      <w:pPr>
        <w:spacing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负责基于评估结果为认知障碍高风险人群规划认知康复训练方案，应通过数字化记忆门诊认知训练培训，能够熟练应用电子辅助设备指导患者进行认知康复训练，并负责对患者的定期回访管理和线上指导。</w:t>
      </w:r>
    </w:p>
    <w:p>
      <w:pPr>
        <w:pStyle w:val="5"/>
      </w:pPr>
      <w:r>
        <w:t>3.3</w:t>
      </w:r>
      <w:r>
        <w:rPr>
          <w:rFonts w:hint="eastAsia"/>
          <w:lang w:val="en-US" w:eastAsia="zh-CN"/>
        </w:rPr>
        <w:t>系统</w:t>
      </w:r>
      <w:r>
        <w:rPr>
          <w:rFonts w:hint="eastAsia"/>
        </w:rPr>
        <w:t>功能</w:t>
      </w:r>
    </w:p>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r>
        <w:rPr>
          <w:rFonts w:ascii="仿宋_GB2312" w:hAnsi="仿宋_GB2312" w:eastAsia="仿宋_GB2312" w:cs="仿宋_GB2312"/>
          <w:color w:val="000000"/>
          <w:sz w:val="28"/>
          <w:szCs w:val="28"/>
        </w:rPr>
        <w:t>.3.1</w:t>
      </w:r>
      <w:r>
        <w:rPr>
          <w:rFonts w:hint="eastAsia" w:ascii="仿宋_GB2312" w:hAnsi="仿宋_GB2312" w:eastAsia="仿宋_GB2312" w:cs="仿宋_GB2312"/>
          <w:color w:val="000000"/>
          <w:sz w:val="28"/>
          <w:szCs w:val="28"/>
        </w:rPr>
        <w:t>脑健康测评</w:t>
      </w:r>
    </w:p>
    <w:p>
      <w:pPr>
        <w:spacing w:line="520" w:lineRule="exact"/>
        <w:ind w:firstLine="560" w:firstLineChars="20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运用行为表型测评，提供全流程分级化的脑健康体检服务，智能评估个体高级认知功能状态，还可精准预警主观认知下降、轻度认知障碍、老年性痴呆等认知障碍疾病，有效辨识认知障碍的患病风险，并根据结果进行指导。具体服务内容包括：</w:t>
      </w:r>
    </w:p>
    <w:tbl>
      <w:tblPr>
        <w:tblStyle w:val="23"/>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977"/>
        <w:gridCol w:w="2693"/>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widowControl/>
              <w:spacing w:line="300" w:lineRule="auto"/>
              <w:jc w:val="center"/>
              <w:rPr>
                <w:rFonts w:ascii="仿宋" w:hAnsi="仿宋" w:eastAsia="仿宋"/>
                <w:b/>
                <w:bCs/>
                <w:szCs w:val="21"/>
              </w:rPr>
            </w:pPr>
            <w:r>
              <w:rPr>
                <w:rFonts w:hint="eastAsia" w:ascii="仿宋" w:hAnsi="仿宋" w:eastAsia="仿宋"/>
                <w:b/>
                <w:bCs/>
                <w:szCs w:val="21"/>
              </w:rPr>
              <w:t>测评项目</w:t>
            </w:r>
          </w:p>
        </w:tc>
        <w:tc>
          <w:tcPr>
            <w:tcW w:w="2977" w:type="dxa"/>
            <w:vAlign w:val="center"/>
          </w:tcPr>
          <w:p>
            <w:pPr>
              <w:widowControl/>
              <w:spacing w:line="300" w:lineRule="auto"/>
              <w:jc w:val="center"/>
              <w:rPr>
                <w:rFonts w:ascii="仿宋" w:hAnsi="仿宋" w:eastAsia="仿宋"/>
                <w:b/>
                <w:bCs/>
                <w:szCs w:val="21"/>
              </w:rPr>
            </w:pPr>
            <w:r>
              <w:rPr>
                <w:rFonts w:ascii="仿宋" w:hAnsi="仿宋" w:eastAsia="仿宋"/>
                <w:b/>
                <w:bCs/>
                <w:szCs w:val="21"/>
              </w:rPr>
              <w:t>测评内容</w:t>
            </w:r>
          </w:p>
        </w:tc>
        <w:tc>
          <w:tcPr>
            <w:tcW w:w="2693" w:type="dxa"/>
            <w:vAlign w:val="center"/>
          </w:tcPr>
          <w:p>
            <w:pPr>
              <w:widowControl/>
              <w:spacing w:line="300" w:lineRule="auto"/>
              <w:jc w:val="center"/>
              <w:rPr>
                <w:rFonts w:ascii="仿宋" w:hAnsi="仿宋" w:eastAsia="仿宋"/>
                <w:b/>
                <w:bCs/>
                <w:szCs w:val="21"/>
              </w:rPr>
            </w:pPr>
            <w:r>
              <w:rPr>
                <w:rFonts w:hint="eastAsia" w:ascii="仿宋" w:hAnsi="仿宋" w:eastAsia="仿宋"/>
                <w:b/>
                <w:bCs/>
                <w:szCs w:val="21"/>
              </w:rPr>
              <w:t>临床意义</w:t>
            </w:r>
          </w:p>
        </w:tc>
        <w:tc>
          <w:tcPr>
            <w:tcW w:w="1565" w:type="dxa"/>
            <w:vAlign w:val="center"/>
          </w:tcPr>
          <w:p>
            <w:pPr>
              <w:widowControl/>
              <w:spacing w:line="300" w:lineRule="auto"/>
              <w:jc w:val="center"/>
              <w:rPr>
                <w:rFonts w:ascii="仿宋" w:hAnsi="仿宋" w:eastAsia="仿宋"/>
                <w:b/>
                <w:bCs/>
                <w:szCs w:val="21"/>
              </w:rPr>
            </w:pPr>
            <w:r>
              <w:rPr>
                <w:rFonts w:hint="eastAsia" w:ascii="仿宋" w:hAnsi="仿宋" w:eastAsia="仿宋"/>
                <w:b/>
                <w:bCs/>
                <w:szCs w:val="21"/>
              </w:rPr>
              <w:t>适用人群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记忆门诊筛查</w:t>
            </w:r>
          </w:p>
          <w:p>
            <w:pPr>
              <w:spacing w:after="120"/>
              <w:jc w:val="center"/>
              <w:rPr>
                <w:rFonts w:ascii="仿宋" w:hAnsi="仿宋" w:eastAsia="仿宋"/>
                <w:b/>
                <w:bCs/>
                <w:szCs w:val="21"/>
              </w:rPr>
            </w:pPr>
            <w:r>
              <w:rPr>
                <w:rFonts w:ascii="仿宋" w:hAnsi="仿宋" w:eastAsia="仿宋"/>
                <w:b/>
                <w:bCs/>
                <w:szCs w:val="21"/>
              </w:rPr>
              <w:t>（6分钟）</w:t>
            </w:r>
          </w:p>
        </w:tc>
        <w:tc>
          <w:tcPr>
            <w:tcW w:w="2977" w:type="dxa"/>
            <w:vAlign w:val="center"/>
          </w:tcPr>
          <w:p>
            <w:pPr>
              <w:spacing w:after="120"/>
              <w:rPr>
                <w:rFonts w:ascii="仿宋" w:hAnsi="仿宋" w:eastAsia="仿宋"/>
                <w:szCs w:val="21"/>
              </w:rPr>
            </w:pPr>
            <w:r>
              <w:rPr>
                <w:rFonts w:hint="eastAsia" w:ascii="仿宋" w:hAnsi="仿宋" w:eastAsia="仿宋"/>
                <w:szCs w:val="21"/>
              </w:rPr>
              <w:t>全面问诊主诉情况，评估一般认知功能、情景记忆能力。</w:t>
            </w:r>
          </w:p>
        </w:tc>
        <w:tc>
          <w:tcPr>
            <w:tcW w:w="2693" w:type="dxa"/>
            <w:vAlign w:val="center"/>
          </w:tcPr>
          <w:p>
            <w:pPr>
              <w:spacing w:after="120"/>
              <w:rPr>
                <w:rFonts w:ascii="仿宋" w:hAnsi="仿宋" w:eastAsia="仿宋"/>
                <w:szCs w:val="21"/>
              </w:rPr>
            </w:pPr>
            <w:r>
              <w:rPr>
                <w:rFonts w:hint="eastAsia" w:ascii="仿宋" w:hAnsi="仿宋" w:eastAsia="仿宋"/>
                <w:szCs w:val="21"/>
              </w:rPr>
              <w:t>快速筛查是否患有认知障碍的风险</w:t>
            </w:r>
          </w:p>
        </w:tc>
        <w:tc>
          <w:tcPr>
            <w:tcW w:w="1565" w:type="dxa"/>
            <w:vAlign w:val="center"/>
          </w:tcPr>
          <w:p>
            <w:pPr>
              <w:spacing w:after="120"/>
              <w:rPr>
                <w:rFonts w:ascii="仿宋" w:hAnsi="仿宋" w:eastAsia="仿宋"/>
                <w:szCs w:val="21"/>
              </w:rPr>
            </w:pPr>
            <w:r>
              <w:rPr>
                <w:rFonts w:hint="eastAsia" w:ascii="仿宋" w:hAnsi="仿宋" w:eastAsia="仿宋"/>
                <w:szCs w:val="21"/>
              </w:rPr>
              <w:t>4</w:t>
            </w:r>
            <w:r>
              <w:rPr>
                <w:rFonts w:ascii="仿宋" w:hAnsi="仿宋" w:eastAsia="仿宋"/>
                <w:szCs w:val="21"/>
              </w:rPr>
              <w:t>0</w:t>
            </w:r>
            <w:r>
              <w:rPr>
                <w:rFonts w:hint="eastAsia" w:ascii="仿宋" w:hAnsi="仿宋" w:eastAsia="仿宋"/>
                <w:szCs w:val="21"/>
              </w:rPr>
              <w:t>岁以上人群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痴呆风险筛查</w:t>
            </w:r>
          </w:p>
          <w:p>
            <w:pPr>
              <w:spacing w:after="120"/>
              <w:jc w:val="center"/>
              <w:rPr>
                <w:rFonts w:ascii="仿宋" w:hAnsi="仿宋" w:eastAsia="仿宋"/>
                <w:b/>
                <w:bCs/>
                <w:szCs w:val="21"/>
              </w:rPr>
            </w:pPr>
            <w:r>
              <w:rPr>
                <w:rFonts w:ascii="仿宋" w:hAnsi="仿宋" w:eastAsia="仿宋"/>
                <w:b/>
                <w:bCs/>
                <w:szCs w:val="21"/>
              </w:rPr>
              <w:t>（35分钟）</w:t>
            </w:r>
          </w:p>
        </w:tc>
        <w:tc>
          <w:tcPr>
            <w:tcW w:w="2977" w:type="dxa"/>
            <w:vAlign w:val="center"/>
          </w:tcPr>
          <w:p>
            <w:pPr>
              <w:spacing w:after="120"/>
              <w:rPr>
                <w:rFonts w:ascii="仿宋" w:hAnsi="仿宋" w:eastAsia="仿宋"/>
                <w:szCs w:val="21"/>
              </w:rPr>
            </w:pPr>
            <w:r>
              <w:rPr>
                <w:rFonts w:hint="eastAsia" w:ascii="仿宋" w:hAnsi="仿宋" w:eastAsia="仿宋"/>
                <w:szCs w:val="21"/>
              </w:rPr>
              <w:t>系统评估能够客观反映痴呆症状的6项认知测评，生成痴呆风险指数。</w:t>
            </w:r>
          </w:p>
        </w:tc>
        <w:tc>
          <w:tcPr>
            <w:tcW w:w="2693" w:type="dxa"/>
            <w:vAlign w:val="center"/>
          </w:tcPr>
          <w:p>
            <w:pPr>
              <w:spacing w:after="120"/>
              <w:rPr>
                <w:rFonts w:ascii="仿宋" w:hAnsi="仿宋" w:eastAsia="仿宋"/>
                <w:szCs w:val="21"/>
              </w:rPr>
            </w:pPr>
            <w:r>
              <w:rPr>
                <w:rFonts w:hint="eastAsia" w:ascii="仿宋" w:hAnsi="仿宋" w:eastAsia="仿宋"/>
                <w:szCs w:val="21"/>
              </w:rPr>
              <w:t>轻度认知障碍辅助诊断，精准判别痴呆患病风险。</w:t>
            </w:r>
          </w:p>
        </w:tc>
        <w:tc>
          <w:tcPr>
            <w:tcW w:w="1565" w:type="dxa"/>
            <w:vAlign w:val="center"/>
          </w:tcPr>
          <w:p>
            <w:pPr>
              <w:spacing w:after="120"/>
              <w:rPr>
                <w:rFonts w:ascii="仿宋" w:hAnsi="仿宋" w:eastAsia="仿宋"/>
                <w:szCs w:val="21"/>
              </w:rPr>
            </w:pPr>
            <w:r>
              <w:rPr>
                <w:rFonts w:hint="eastAsia" w:ascii="仿宋" w:hAnsi="仿宋" w:eastAsia="仿宋"/>
                <w:szCs w:val="21"/>
              </w:rPr>
              <w:t>4</w:t>
            </w:r>
            <w:r>
              <w:rPr>
                <w:rFonts w:ascii="仿宋" w:hAnsi="仿宋" w:eastAsia="仿宋"/>
                <w:szCs w:val="21"/>
              </w:rPr>
              <w:t>0</w:t>
            </w:r>
            <w:r>
              <w:rPr>
                <w:rFonts w:hint="eastAsia" w:ascii="仿宋" w:hAnsi="仿宋" w:eastAsia="仿宋"/>
                <w:szCs w:val="21"/>
              </w:rPr>
              <w:t>岁以上人群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常用神经认知测评</w:t>
            </w:r>
          </w:p>
        </w:tc>
        <w:tc>
          <w:tcPr>
            <w:tcW w:w="2977" w:type="dxa"/>
            <w:vAlign w:val="center"/>
          </w:tcPr>
          <w:p>
            <w:pPr>
              <w:spacing w:after="120"/>
              <w:rPr>
                <w:rFonts w:ascii="仿宋" w:hAnsi="仿宋" w:eastAsia="仿宋"/>
                <w:szCs w:val="21"/>
              </w:rPr>
            </w:pPr>
            <w:r>
              <w:rPr>
                <w:rFonts w:hint="eastAsia" w:ascii="仿宋" w:hAnsi="仿宋" w:eastAsia="仿宋"/>
                <w:szCs w:val="21"/>
              </w:rPr>
              <w:t>根据临床需求选择常用认知量表如A</w:t>
            </w:r>
            <w:r>
              <w:rPr>
                <w:rFonts w:ascii="仿宋" w:hAnsi="仿宋" w:eastAsia="仿宋"/>
                <w:szCs w:val="21"/>
              </w:rPr>
              <w:t>VLT</w:t>
            </w:r>
            <w:r>
              <w:rPr>
                <w:rFonts w:hint="eastAsia" w:ascii="仿宋" w:hAnsi="仿宋" w:eastAsia="仿宋"/>
                <w:szCs w:val="21"/>
              </w:rPr>
              <w:t>、H</w:t>
            </w:r>
            <w:r>
              <w:rPr>
                <w:rFonts w:ascii="仿宋" w:hAnsi="仿宋" w:eastAsia="仿宋"/>
                <w:szCs w:val="21"/>
              </w:rPr>
              <w:t>IS</w:t>
            </w:r>
            <w:r>
              <w:rPr>
                <w:rFonts w:hint="eastAsia" w:ascii="仿宋" w:hAnsi="仿宋" w:eastAsia="仿宋"/>
                <w:szCs w:val="21"/>
              </w:rPr>
              <w:t>、Stroop、B</w:t>
            </w:r>
            <w:r>
              <w:rPr>
                <w:rFonts w:ascii="仿宋" w:hAnsi="仿宋" w:eastAsia="仿宋"/>
                <w:szCs w:val="21"/>
              </w:rPr>
              <w:t>NT</w:t>
            </w:r>
            <w:r>
              <w:rPr>
                <w:rFonts w:hint="eastAsia" w:ascii="仿宋" w:hAnsi="仿宋" w:eastAsia="仿宋"/>
                <w:szCs w:val="21"/>
              </w:rPr>
              <w:t>等总计近4</w:t>
            </w:r>
            <w:r>
              <w:rPr>
                <w:rFonts w:ascii="仿宋" w:hAnsi="仿宋" w:eastAsia="仿宋"/>
                <w:szCs w:val="21"/>
              </w:rPr>
              <w:t>0</w:t>
            </w:r>
            <w:r>
              <w:rPr>
                <w:rFonts w:hint="eastAsia" w:ascii="仿宋" w:hAnsi="仿宋" w:eastAsia="仿宋"/>
                <w:szCs w:val="21"/>
              </w:rPr>
              <w:t>余个量表评定。</w:t>
            </w:r>
          </w:p>
        </w:tc>
        <w:tc>
          <w:tcPr>
            <w:tcW w:w="2693" w:type="dxa"/>
            <w:vAlign w:val="center"/>
          </w:tcPr>
          <w:p>
            <w:pPr>
              <w:spacing w:after="120"/>
              <w:rPr>
                <w:rFonts w:ascii="仿宋" w:hAnsi="仿宋" w:eastAsia="仿宋"/>
                <w:szCs w:val="21"/>
              </w:rPr>
            </w:pPr>
            <w:r>
              <w:rPr>
                <w:rFonts w:hint="eastAsia" w:ascii="仿宋" w:hAnsi="仿宋" w:eastAsia="仿宋"/>
                <w:szCs w:val="21"/>
              </w:rPr>
              <w:t>可进行轻度认知障碍及痴呆辅助诊断。</w:t>
            </w:r>
          </w:p>
        </w:tc>
        <w:tc>
          <w:tcPr>
            <w:tcW w:w="1565" w:type="dxa"/>
            <w:vAlign w:val="center"/>
          </w:tcPr>
          <w:p>
            <w:pPr>
              <w:spacing w:after="120"/>
              <w:rPr>
                <w:rFonts w:ascii="仿宋" w:hAnsi="仿宋" w:eastAsia="仿宋"/>
                <w:szCs w:val="21"/>
              </w:rPr>
            </w:pPr>
            <w:r>
              <w:rPr>
                <w:rFonts w:hint="eastAsia" w:ascii="仿宋" w:hAnsi="仿宋" w:eastAsia="仿宋"/>
                <w:szCs w:val="21"/>
              </w:rPr>
              <w:t>4</w:t>
            </w:r>
            <w:r>
              <w:rPr>
                <w:rFonts w:ascii="仿宋" w:hAnsi="仿宋" w:eastAsia="仿宋"/>
                <w:szCs w:val="21"/>
              </w:rPr>
              <w:t>0</w:t>
            </w:r>
            <w:r>
              <w:rPr>
                <w:rFonts w:hint="eastAsia" w:ascii="仿宋" w:hAnsi="仿宋" w:eastAsia="仿宋"/>
                <w:szCs w:val="21"/>
              </w:rPr>
              <w:t>岁以上人群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精神情绪及其它测评</w:t>
            </w:r>
          </w:p>
        </w:tc>
        <w:tc>
          <w:tcPr>
            <w:tcW w:w="2977" w:type="dxa"/>
            <w:vAlign w:val="center"/>
          </w:tcPr>
          <w:p>
            <w:pPr>
              <w:spacing w:after="120"/>
              <w:rPr>
                <w:rFonts w:ascii="仿宋" w:hAnsi="仿宋" w:eastAsia="仿宋"/>
                <w:szCs w:val="21"/>
              </w:rPr>
            </w:pPr>
            <w:r>
              <w:rPr>
                <w:rFonts w:hint="eastAsia" w:ascii="仿宋" w:hAnsi="仿宋" w:eastAsia="仿宋"/>
                <w:szCs w:val="21"/>
              </w:rPr>
              <w:t>可选择进行情绪感知、抑郁、焦虑等进行测评，另可进行生活功能、中医证候及临床综合评估。</w:t>
            </w:r>
          </w:p>
        </w:tc>
        <w:tc>
          <w:tcPr>
            <w:tcW w:w="2693" w:type="dxa"/>
            <w:vAlign w:val="center"/>
          </w:tcPr>
          <w:p>
            <w:pPr>
              <w:spacing w:after="120"/>
              <w:rPr>
                <w:rFonts w:ascii="仿宋" w:hAnsi="仿宋" w:eastAsia="仿宋"/>
                <w:szCs w:val="21"/>
              </w:rPr>
            </w:pPr>
            <w:r>
              <w:rPr>
                <w:rFonts w:hint="eastAsia" w:ascii="仿宋" w:hAnsi="仿宋" w:eastAsia="仿宋"/>
                <w:szCs w:val="21"/>
              </w:rPr>
              <w:t>进行精神情绪状态、生活能力、中医体质等判定，辅助于认知疾病诊断。</w:t>
            </w:r>
          </w:p>
        </w:tc>
        <w:tc>
          <w:tcPr>
            <w:tcW w:w="1565" w:type="dxa"/>
            <w:vAlign w:val="center"/>
          </w:tcPr>
          <w:p>
            <w:pPr>
              <w:spacing w:after="120"/>
              <w:rPr>
                <w:rFonts w:ascii="仿宋" w:hAnsi="仿宋" w:eastAsia="仿宋"/>
                <w:szCs w:val="21"/>
              </w:rPr>
            </w:pPr>
            <w:r>
              <w:rPr>
                <w:rFonts w:hint="eastAsia" w:ascii="仿宋" w:hAnsi="仿宋" w:eastAsia="仿宋"/>
                <w:szCs w:val="21"/>
              </w:rPr>
              <w:t>全年龄段人群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自定义工具集测评</w:t>
            </w:r>
          </w:p>
        </w:tc>
        <w:tc>
          <w:tcPr>
            <w:tcW w:w="2977" w:type="dxa"/>
            <w:vAlign w:val="center"/>
          </w:tcPr>
          <w:p>
            <w:pPr>
              <w:spacing w:after="120"/>
              <w:rPr>
                <w:rFonts w:ascii="仿宋" w:hAnsi="仿宋" w:eastAsia="仿宋"/>
                <w:szCs w:val="21"/>
              </w:rPr>
            </w:pPr>
            <w:r>
              <w:rPr>
                <w:rFonts w:hint="eastAsia" w:ascii="仿宋" w:hAnsi="仿宋" w:eastAsia="仿宋"/>
                <w:szCs w:val="21"/>
              </w:rPr>
              <w:t>针对临床及科研需求，进行量表组合形成固定常用量表工具集。</w:t>
            </w:r>
          </w:p>
        </w:tc>
        <w:tc>
          <w:tcPr>
            <w:tcW w:w="2693" w:type="dxa"/>
            <w:vAlign w:val="center"/>
          </w:tcPr>
          <w:p>
            <w:pPr>
              <w:spacing w:after="120"/>
              <w:rPr>
                <w:rFonts w:ascii="仿宋" w:hAnsi="仿宋" w:eastAsia="仿宋"/>
                <w:szCs w:val="21"/>
              </w:rPr>
            </w:pPr>
            <w:r>
              <w:rPr>
                <w:rFonts w:hint="eastAsia" w:ascii="仿宋" w:hAnsi="仿宋" w:eastAsia="仿宋"/>
                <w:szCs w:val="21"/>
              </w:rPr>
              <w:t>认知疾病辅助诊断及标准化科研数据整理。</w:t>
            </w:r>
          </w:p>
        </w:tc>
        <w:tc>
          <w:tcPr>
            <w:tcW w:w="1565" w:type="dxa"/>
            <w:vAlign w:val="center"/>
          </w:tcPr>
          <w:p>
            <w:pPr>
              <w:spacing w:after="120"/>
              <w:rPr>
                <w:rFonts w:ascii="仿宋" w:hAnsi="仿宋" w:eastAsia="仿宋"/>
                <w:szCs w:val="21"/>
              </w:rPr>
            </w:pPr>
            <w:r>
              <w:rPr>
                <w:rFonts w:hint="eastAsia" w:ascii="仿宋" w:hAnsi="仿宋" w:eastAsia="仿宋"/>
                <w:szCs w:val="21"/>
              </w:rPr>
              <w:t>全年龄段人群</w:t>
            </w:r>
          </w:p>
        </w:tc>
      </w:tr>
    </w:tbl>
    <w:p>
      <w:pPr>
        <w:spacing w:line="520" w:lineRule="exac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r>
        <w:rPr>
          <w:rFonts w:ascii="仿宋_GB2312" w:hAnsi="仿宋_GB2312" w:eastAsia="仿宋_GB2312" w:cs="仿宋_GB2312"/>
          <w:color w:val="000000"/>
          <w:sz w:val="28"/>
          <w:szCs w:val="28"/>
        </w:rPr>
        <w:t>.3.2</w:t>
      </w:r>
      <w:r>
        <w:rPr>
          <w:rFonts w:hint="eastAsia" w:ascii="仿宋_GB2312" w:hAnsi="仿宋_GB2312" w:eastAsia="仿宋_GB2312" w:cs="仿宋_GB2312"/>
          <w:color w:val="000000"/>
          <w:sz w:val="28"/>
          <w:szCs w:val="28"/>
        </w:rPr>
        <w:t>认知康复训练</w:t>
      </w:r>
    </w:p>
    <w:p>
      <w:pPr>
        <w:spacing w:line="520" w:lineRule="exact"/>
        <w:ind w:firstLine="560" w:firstLineChars="20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可针对</w:t>
      </w:r>
      <w:r>
        <w:rPr>
          <w:rFonts w:hint="eastAsia" w:ascii="仿宋_GB2312" w:hAnsi="仿宋_GB2312" w:eastAsia="仿宋_GB2312" w:cs="仿宋_GB2312"/>
          <w:color w:val="000000"/>
          <w:sz w:val="28"/>
          <w:szCs w:val="28"/>
        </w:rPr>
        <w:t>认知下降或损伤进行智能化</w:t>
      </w:r>
      <w:r>
        <w:rPr>
          <w:rFonts w:ascii="仿宋_GB2312" w:hAnsi="仿宋_GB2312" w:eastAsia="仿宋_GB2312" w:cs="仿宋_GB2312"/>
          <w:color w:val="000000"/>
          <w:sz w:val="28"/>
          <w:szCs w:val="28"/>
        </w:rPr>
        <w:t>训练干预，改善焦虑、抑郁等消极情绪</w:t>
      </w:r>
      <w:r>
        <w:rPr>
          <w:rFonts w:hint="eastAsia" w:ascii="仿宋_GB2312" w:hAnsi="仿宋_GB2312" w:eastAsia="仿宋_GB2312" w:cs="仿宋_GB2312"/>
          <w:color w:val="000000"/>
          <w:sz w:val="28"/>
          <w:szCs w:val="28"/>
        </w:rPr>
        <w:t>及睡眠状况</w:t>
      </w:r>
      <w:r>
        <w:rPr>
          <w:rFonts w:ascii="仿宋_GB2312" w:hAnsi="仿宋_GB2312" w:eastAsia="仿宋_GB2312" w:cs="仿宋_GB2312"/>
          <w:color w:val="000000"/>
          <w:sz w:val="28"/>
          <w:szCs w:val="28"/>
        </w:rPr>
        <w:t>，有效延缓认知能力衰退，提升脑健康状态，尤其对轻度阿尔茨海默病、血管性痴呆、轻度认知障碍、记忆障碍等人群的认知功能具有有效的保护作用。</w:t>
      </w:r>
    </w:p>
    <w:p>
      <w:pPr>
        <w:spacing w:line="520" w:lineRule="exact"/>
        <w:ind w:firstLine="560" w:firstLineChars="20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综合康复训练可根据患者</w:t>
      </w:r>
      <w:r>
        <w:rPr>
          <w:rFonts w:hint="eastAsia" w:ascii="仿宋_GB2312" w:hAnsi="仿宋_GB2312" w:eastAsia="仿宋_GB2312" w:cs="仿宋_GB2312"/>
          <w:color w:val="000000"/>
          <w:sz w:val="28"/>
          <w:szCs w:val="28"/>
        </w:rPr>
        <w:t>认知</w:t>
      </w:r>
      <w:r>
        <w:rPr>
          <w:rFonts w:ascii="仿宋_GB2312" w:hAnsi="仿宋_GB2312" w:eastAsia="仿宋_GB2312" w:cs="仿宋_GB2312"/>
          <w:color w:val="000000"/>
          <w:sz w:val="28"/>
          <w:szCs w:val="28"/>
        </w:rPr>
        <w:t>疾病进程和认知心理损伤特征，个性定制脑健康综合康复方案，具体包括：</w:t>
      </w:r>
    </w:p>
    <w:tbl>
      <w:tblPr>
        <w:tblStyle w:val="23"/>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842"/>
        <w:gridCol w:w="4111"/>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widowControl/>
              <w:spacing w:line="300" w:lineRule="auto"/>
              <w:jc w:val="center"/>
              <w:rPr>
                <w:rFonts w:ascii="仿宋" w:hAnsi="仿宋" w:eastAsia="仿宋"/>
                <w:b/>
                <w:bCs/>
                <w:szCs w:val="21"/>
              </w:rPr>
            </w:pPr>
            <w:r>
              <w:rPr>
                <w:rFonts w:ascii="仿宋" w:hAnsi="仿宋" w:eastAsia="仿宋"/>
                <w:b/>
                <w:bCs/>
                <w:szCs w:val="21"/>
              </w:rPr>
              <w:t>方案类型</w:t>
            </w:r>
          </w:p>
        </w:tc>
        <w:tc>
          <w:tcPr>
            <w:tcW w:w="1842" w:type="dxa"/>
            <w:vAlign w:val="center"/>
          </w:tcPr>
          <w:p>
            <w:pPr>
              <w:widowControl/>
              <w:spacing w:line="300" w:lineRule="auto"/>
              <w:jc w:val="center"/>
              <w:rPr>
                <w:rFonts w:ascii="仿宋" w:hAnsi="仿宋" w:eastAsia="仿宋"/>
                <w:b/>
                <w:bCs/>
                <w:szCs w:val="21"/>
              </w:rPr>
            </w:pPr>
            <w:r>
              <w:rPr>
                <w:rFonts w:ascii="仿宋" w:hAnsi="仿宋" w:eastAsia="仿宋"/>
                <w:b/>
                <w:bCs/>
                <w:szCs w:val="21"/>
              </w:rPr>
              <w:t>方案名称</w:t>
            </w:r>
          </w:p>
        </w:tc>
        <w:tc>
          <w:tcPr>
            <w:tcW w:w="4111" w:type="dxa"/>
            <w:vAlign w:val="center"/>
          </w:tcPr>
          <w:p>
            <w:pPr>
              <w:widowControl/>
              <w:spacing w:line="300" w:lineRule="auto"/>
              <w:jc w:val="center"/>
              <w:rPr>
                <w:rFonts w:ascii="仿宋" w:hAnsi="仿宋" w:eastAsia="仿宋"/>
                <w:b/>
                <w:bCs/>
                <w:szCs w:val="21"/>
              </w:rPr>
            </w:pPr>
            <w:r>
              <w:rPr>
                <w:rFonts w:ascii="仿宋" w:hAnsi="仿宋" w:eastAsia="仿宋"/>
                <w:b/>
                <w:bCs/>
                <w:szCs w:val="21"/>
              </w:rPr>
              <w:t>康复目标</w:t>
            </w:r>
          </w:p>
        </w:tc>
        <w:tc>
          <w:tcPr>
            <w:tcW w:w="1849" w:type="dxa"/>
            <w:vAlign w:val="center"/>
          </w:tcPr>
          <w:p>
            <w:pPr>
              <w:widowControl/>
              <w:spacing w:line="300" w:lineRule="auto"/>
              <w:jc w:val="center"/>
              <w:rPr>
                <w:rFonts w:ascii="仿宋" w:hAnsi="仿宋" w:eastAsia="仿宋"/>
                <w:b/>
                <w:bCs/>
                <w:szCs w:val="21"/>
              </w:rPr>
            </w:pPr>
            <w:r>
              <w:rPr>
                <w:rFonts w:ascii="仿宋" w:hAnsi="仿宋" w:eastAsia="仿宋"/>
                <w:b/>
                <w:bCs/>
                <w:szCs w:val="21"/>
              </w:rPr>
              <w:t>适用人群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widowControl/>
              <w:spacing w:line="300" w:lineRule="auto"/>
              <w:jc w:val="center"/>
              <w:rPr>
                <w:rFonts w:ascii="仿宋" w:hAnsi="仿宋" w:eastAsia="仿宋"/>
                <w:b/>
                <w:bCs/>
                <w:szCs w:val="21"/>
              </w:rPr>
            </w:pPr>
            <w:r>
              <w:rPr>
                <w:rFonts w:ascii="仿宋" w:hAnsi="仿宋" w:eastAsia="仿宋"/>
                <w:b/>
                <w:bCs/>
                <w:szCs w:val="21"/>
              </w:rPr>
              <w:t>认知康复</w:t>
            </w:r>
          </w:p>
        </w:tc>
        <w:tc>
          <w:tcPr>
            <w:tcW w:w="1842" w:type="dxa"/>
            <w:vAlign w:val="center"/>
          </w:tcPr>
          <w:p>
            <w:pPr>
              <w:spacing w:after="120"/>
              <w:rPr>
                <w:rFonts w:ascii="仿宋" w:hAnsi="仿宋" w:eastAsia="仿宋"/>
                <w:szCs w:val="21"/>
              </w:rPr>
            </w:pPr>
            <w:r>
              <w:rPr>
                <w:rFonts w:ascii="仿宋" w:hAnsi="仿宋" w:eastAsia="仿宋"/>
                <w:szCs w:val="21"/>
              </w:rPr>
              <w:t>增强记忆方案</w:t>
            </w:r>
          </w:p>
        </w:tc>
        <w:tc>
          <w:tcPr>
            <w:tcW w:w="4111" w:type="dxa"/>
            <w:vAlign w:val="center"/>
          </w:tcPr>
          <w:p>
            <w:pPr>
              <w:spacing w:after="120"/>
              <w:rPr>
                <w:rFonts w:ascii="仿宋" w:hAnsi="仿宋" w:eastAsia="仿宋"/>
                <w:szCs w:val="21"/>
              </w:rPr>
            </w:pPr>
            <w:r>
              <w:rPr>
                <w:rFonts w:ascii="仿宋" w:hAnsi="仿宋" w:eastAsia="仿宋"/>
                <w:szCs w:val="21"/>
              </w:rPr>
              <w:t>促进海马内嗅皮层环路活性，改善记忆力</w:t>
            </w:r>
          </w:p>
        </w:tc>
        <w:tc>
          <w:tcPr>
            <w:tcW w:w="1849" w:type="dxa"/>
            <w:vAlign w:val="center"/>
          </w:tcPr>
          <w:p>
            <w:pPr>
              <w:spacing w:after="120"/>
              <w:rPr>
                <w:rFonts w:ascii="仿宋" w:hAnsi="仿宋" w:eastAsia="仿宋"/>
                <w:szCs w:val="21"/>
              </w:rPr>
            </w:pPr>
            <w:r>
              <w:rPr>
                <w:rFonts w:ascii="仿宋" w:hAnsi="仿宋" w:eastAsia="仿宋"/>
                <w:szCs w:val="21"/>
              </w:rPr>
              <w:t>主诉记忆下降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vAlign w:val="center"/>
          </w:tcPr>
          <w:p>
            <w:pPr>
              <w:widowControl/>
              <w:spacing w:line="300" w:lineRule="auto"/>
              <w:jc w:val="center"/>
              <w:rPr>
                <w:rFonts w:ascii="仿宋" w:hAnsi="仿宋" w:eastAsia="仿宋"/>
                <w:b/>
                <w:bCs/>
                <w:szCs w:val="21"/>
              </w:rPr>
            </w:pPr>
          </w:p>
        </w:tc>
        <w:tc>
          <w:tcPr>
            <w:tcW w:w="1842" w:type="dxa"/>
            <w:vAlign w:val="center"/>
          </w:tcPr>
          <w:p>
            <w:pPr>
              <w:spacing w:after="120"/>
              <w:rPr>
                <w:rFonts w:ascii="仿宋" w:hAnsi="仿宋" w:eastAsia="仿宋"/>
                <w:szCs w:val="21"/>
              </w:rPr>
            </w:pPr>
            <w:r>
              <w:rPr>
                <w:rFonts w:ascii="仿宋" w:hAnsi="仿宋" w:eastAsia="仿宋"/>
                <w:szCs w:val="21"/>
              </w:rPr>
              <w:t>抗脑萎缩方案</w:t>
            </w:r>
          </w:p>
        </w:tc>
        <w:tc>
          <w:tcPr>
            <w:tcW w:w="4111" w:type="dxa"/>
            <w:vAlign w:val="center"/>
          </w:tcPr>
          <w:p>
            <w:pPr>
              <w:spacing w:after="120"/>
              <w:rPr>
                <w:rFonts w:ascii="仿宋" w:hAnsi="仿宋" w:eastAsia="仿宋"/>
                <w:szCs w:val="21"/>
              </w:rPr>
            </w:pPr>
            <w:r>
              <w:rPr>
                <w:rFonts w:ascii="仿宋" w:hAnsi="仿宋" w:eastAsia="仿宋"/>
                <w:szCs w:val="21"/>
              </w:rPr>
              <w:t>激活额顶网络功能连接，预防大脑萎缩</w:t>
            </w:r>
          </w:p>
        </w:tc>
        <w:tc>
          <w:tcPr>
            <w:tcW w:w="1849" w:type="dxa"/>
            <w:vAlign w:val="center"/>
          </w:tcPr>
          <w:p>
            <w:pPr>
              <w:spacing w:after="120"/>
              <w:rPr>
                <w:rFonts w:ascii="仿宋" w:hAnsi="仿宋" w:eastAsia="仿宋"/>
                <w:szCs w:val="21"/>
              </w:rPr>
            </w:pPr>
            <w:r>
              <w:rPr>
                <w:rFonts w:ascii="仿宋" w:hAnsi="仿宋" w:eastAsia="仿宋"/>
                <w:szCs w:val="21"/>
              </w:rPr>
              <w:t>轻度认识障碍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vAlign w:val="center"/>
          </w:tcPr>
          <w:p>
            <w:pPr>
              <w:widowControl/>
              <w:spacing w:line="300" w:lineRule="auto"/>
              <w:jc w:val="center"/>
              <w:rPr>
                <w:rFonts w:ascii="仿宋" w:hAnsi="仿宋" w:eastAsia="仿宋"/>
                <w:b/>
                <w:bCs/>
                <w:szCs w:val="21"/>
              </w:rPr>
            </w:pPr>
          </w:p>
        </w:tc>
        <w:tc>
          <w:tcPr>
            <w:tcW w:w="1842" w:type="dxa"/>
            <w:vAlign w:val="center"/>
          </w:tcPr>
          <w:p>
            <w:pPr>
              <w:spacing w:after="120"/>
              <w:rPr>
                <w:rFonts w:ascii="仿宋" w:hAnsi="仿宋" w:eastAsia="仿宋"/>
                <w:szCs w:val="21"/>
              </w:rPr>
            </w:pPr>
            <w:r>
              <w:rPr>
                <w:rFonts w:ascii="仿宋" w:hAnsi="仿宋" w:eastAsia="仿宋"/>
                <w:szCs w:val="21"/>
              </w:rPr>
              <w:t>防止痴呆方案</w:t>
            </w:r>
          </w:p>
        </w:tc>
        <w:tc>
          <w:tcPr>
            <w:tcW w:w="4111" w:type="dxa"/>
            <w:vAlign w:val="center"/>
          </w:tcPr>
          <w:p>
            <w:pPr>
              <w:spacing w:after="120"/>
              <w:rPr>
                <w:rFonts w:ascii="仿宋" w:hAnsi="仿宋" w:eastAsia="仿宋"/>
                <w:szCs w:val="21"/>
              </w:rPr>
            </w:pPr>
            <w:r>
              <w:rPr>
                <w:rFonts w:ascii="仿宋" w:hAnsi="仿宋" w:eastAsia="仿宋"/>
                <w:szCs w:val="21"/>
              </w:rPr>
              <w:t>修复受损的海马回路，延缓病情进展</w:t>
            </w:r>
          </w:p>
        </w:tc>
        <w:tc>
          <w:tcPr>
            <w:tcW w:w="1849" w:type="dxa"/>
            <w:vAlign w:val="center"/>
          </w:tcPr>
          <w:p>
            <w:pPr>
              <w:spacing w:after="120"/>
              <w:rPr>
                <w:rFonts w:ascii="仿宋" w:hAnsi="仿宋" w:eastAsia="仿宋"/>
                <w:szCs w:val="21"/>
              </w:rPr>
            </w:pPr>
            <w:r>
              <w:rPr>
                <w:rFonts w:ascii="仿宋" w:hAnsi="仿宋" w:eastAsia="仿宋"/>
                <w:szCs w:val="21"/>
              </w:rPr>
              <w:t>轻度痴呆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widowControl/>
              <w:spacing w:line="300" w:lineRule="auto"/>
              <w:jc w:val="center"/>
              <w:rPr>
                <w:rFonts w:ascii="仿宋" w:hAnsi="仿宋" w:eastAsia="仿宋"/>
                <w:b/>
                <w:bCs/>
                <w:szCs w:val="21"/>
              </w:rPr>
            </w:pPr>
            <w:r>
              <w:rPr>
                <w:rFonts w:ascii="仿宋" w:hAnsi="仿宋" w:eastAsia="仿宋"/>
                <w:b/>
                <w:bCs/>
                <w:szCs w:val="21"/>
              </w:rPr>
              <w:t>情绪调节</w:t>
            </w:r>
          </w:p>
        </w:tc>
        <w:tc>
          <w:tcPr>
            <w:tcW w:w="1842" w:type="dxa"/>
            <w:vAlign w:val="center"/>
          </w:tcPr>
          <w:p>
            <w:pPr>
              <w:spacing w:after="120"/>
              <w:rPr>
                <w:rFonts w:ascii="仿宋" w:hAnsi="仿宋" w:eastAsia="仿宋"/>
                <w:szCs w:val="21"/>
              </w:rPr>
            </w:pPr>
            <w:r>
              <w:rPr>
                <w:rFonts w:ascii="仿宋" w:hAnsi="仿宋" w:eastAsia="仿宋"/>
                <w:szCs w:val="21"/>
              </w:rPr>
              <w:t>改善睡眠方案</w:t>
            </w:r>
          </w:p>
        </w:tc>
        <w:tc>
          <w:tcPr>
            <w:tcW w:w="4111" w:type="dxa"/>
            <w:vAlign w:val="center"/>
          </w:tcPr>
          <w:p>
            <w:pPr>
              <w:spacing w:after="120"/>
              <w:rPr>
                <w:rFonts w:ascii="仿宋" w:hAnsi="仿宋" w:eastAsia="仿宋"/>
                <w:szCs w:val="21"/>
              </w:rPr>
            </w:pPr>
            <w:r>
              <w:rPr>
                <w:rFonts w:ascii="仿宋" w:hAnsi="仿宋" w:eastAsia="仿宋"/>
                <w:szCs w:val="21"/>
              </w:rPr>
              <w:t>刺激调控睡眠的脑神经环路，提高睡眠质量</w:t>
            </w:r>
          </w:p>
        </w:tc>
        <w:tc>
          <w:tcPr>
            <w:tcW w:w="1849" w:type="dxa"/>
            <w:vAlign w:val="center"/>
          </w:tcPr>
          <w:p>
            <w:pPr>
              <w:spacing w:after="120"/>
              <w:rPr>
                <w:rFonts w:ascii="仿宋" w:hAnsi="仿宋" w:eastAsia="仿宋"/>
                <w:szCs w:val="21"/>
              </w:rPr>
            </w:pPr>
            <w:r>
              <w:rPr>
                <w:rFonts w:ascii="仿宋" w:hAnsi="仿宋" w:eastAsia="仿宋"/>
                <w:szCs w:val="21"/>
              </w:rPr>
              <w:t>睡眠障碍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vAlign w:val="center"/>
          </w:tcPr>
          <w:p>
            <w:pPr>
              <w:widowControl/>
              <w:spacing w:line="300" w:lineRule="auto"/>
              <w:rPr>
                <w:szCs w:val="24"/>
              </w:rPr>
            </w:pPr>
          </w:p>
        </w:tc>
        <w:tc>
          <w:tcPr>
            <w:tcW w:w="1842" w:type="dxa"/>
            <w:vAlign w:val="center"/>
          </w:tcPr>
          <w:p>
            <w:pPr>
              <w:spacing w:after="120"/>
              <w:rPr>
                <w:rFonts w:ascii="仿宋" w:hAnsi="仿宋" w:eastAsia="仿宋"/>
                <w:szCs w:val="21"/>
              </w:rPr>
            </w:pPr>
            <w:r>
              <w:rPr>
                <w:rFonts w:ascii="仿宋" w:hAnsi="仿宋" w:eastAsia="仿宋"/>
                <w:szCs w:val="21"/>
              </w:rPr>
              <w:t>舒缓焦虑方案</w:t>
            </w:r>
          </w:p>
        </w:tc>
        <w:tc>
          <w:tcPr>
            <w:tcW w:w="4111" w:type="dxa"/>
            <w:vAlign w:val="center"/>
          </w:tcPr>
          <w:p>
            <w:pPr>
              <w:spacing w:after="120"/>
              <w:rPr>
                <w:rFonts w:ascii="仿宋" w:hAnsi="仿宋" w:eastAsia="仿宋"/>
                <w:szCs w:val="21"/>
              </w:rPr>
            </w:pPr>
            <w:r>
              <w:rPr>
                <w:rFonts w:ascii="仿宋" w:hAnsi="仿宋" w:eastAsia="仿宋"/>
                <w:szCs w:val="21"/>
              </w:rPr>
              <w:t>提升内侧前额叶皮层调控力，缓解焦虑情绪</w:t>
            </w:r>
          </w:p>
        </w:tc>
        <w:tc>
          <w:tcPr>
            <w:tcW w:w="1849" w:type="dxa"/>
            <w:vAlign w:val="center"/>
          </w:tcPr>
          <w:p>
            <w:pPr>
              <w:spacing w:after="120"/>
              <w:rPr>
                <w:rFonts w:ascii="仿宋" w:hAnsi="仿宋" w:eastAsia="仿宋"/>
                <w:szCs w:val="21"/>
              </w:rPr>
            </w:pPr>
            <w:r>
              <w:rPr>
                <w:rFonts w:ascii="仿宋" w:hAnsi="仿宋" w:eastAsia="仿宋"/>
                <w:szCs w:val="21"/>
              </w:rPr>
              <w:t>焦虑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555" w:type="dxa"/>
            <w:vMerge w:val="continue"/>
            <w:vAlign w:val="center"/>
          </w:tcPr>
          <w:p>
            <w:pPr>
              <w:widowControl/>
              <w:spacing w:line="300" w:lineRule="auto"/>
              <w:rPr>
                <w:szCs w:val="24"/>
              </w:rPr>
            </w:pPr>
          </w:p>
        </w:tc>
        <w:tc>
          <w:tcPr>
            <w:tcW w:w="1842" w:type="dxa"/>
            <w:vAlign w:val="center"/>
          </w:tcPr>
          <w:p>
            <w:pPr>
              <w:spacing w:after="120"/>
              <w:rPr>
                <w:rFonts w:ascii="仿宋" w:hAnsi="仿宋" w:eastAsia="仿宋"/>
                <w:szCs w:val="21"/>
              </w:rPr>
            </w:pPr>
            <w:r>
              <w:rPr>
                <w:rFonts w:ascii="仿宋" w:hAnsi="仿宋" w:eastAsia="仿宋"/>
                <w:szCs w:val="21"/>
              </w:rPr>
              <w:t>调节抑郁方案</w:t>
            </w:r>
          </w:p>
        </w:tc>
        <w:tc>
          <w:tcPr>
            <w:tcW w:w="4111" w:type="dxa"/>
            <w:vAlign w:val="center"/>
          </w:tcPr>
          <w:p>
            <w:pPr>
              <w:spacing w:after="120"/>
              <w:rPr>
                <w:rFonts w:ascii="仿宋" w:hAnsi="仿宋" w:eastAsia="仿宋"/>
                <w:szCs w:val="21"/>
              </w:rPr>
            </w:pPr>
            <w:r>
              <w:rPr>
                <w:rFonts w:ascii="仿宋" w:hAnsi="仿宋" w:eastAsia="仿宋"/>
                <w:szCs w:val="21"/>
              </w:rPr>
              <w:t>提高边缘系统调节能力，改善抑郁症状</w:t>
            </w:r>
          </w:p>
        </w:tc>
        <w:tc>
          <w:tcPr>
            <w:tcW w:w="1849" w:type="dxa"/>
            <w:vAlign w:val="center"/>
          </w:tcPr>
          <w:p>
            <w:pPr>
              <w:spacing w:after="120"/>
              <w:rPr>
                <w:rFonts w:ascii="仿宋" w:hAnsi="仿宋" w:eastAsia="仿宋"/>
                <w:szCs w:val="21"/>
              </w:rPr>
            </w:pPr>
            <w:r>
              <w:rPr>
                <w:rFonts w:ascii="仿宋" w:hAnsi="仿宋" w:eastAsia="仿宋"/>
                <w:szCs w:val="21"/>
              </w:rPr>
              <w:t>抑郁</w:t>
            </w:r>
          </w:p>
        </w:tc>
      </w:tr>
    </w:tbl>
    <w:p>
      <w:pPr>
        <w:spacing w:line="520" w:lineRule="exact"/>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3.3.3</w:t>
      </w:r>
      <w:r>
        <w:rPr>
          <w:rFonts w:hint="eastAsia" w:ascii="仿宋_GB2312" w:hAnsi="仿宋_GB2312" w:eastAsia="仿宋_GB2312" w:cs="仿宋_GB2312"/>
          <w:color w:val="000000"/>
          <w:sz w:val="28"/>
          <w:szCs w:val="28"/>
        </w:rPr>
        <w:t>脑健康数据管理</w:t>
      </w:r>
    </w:p>
    <w:p>
      <w:pPr>
        <w:spacing w:line="52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实现高效采集、存储、传输、管理与分析数据，并实现对脑健康体检、康复、教育相关数据资源的合理利用以及对数据价值的深度挖掘，助力区域医疗决策。围绕患者基础信息、电子病历、健康档案、体检报告、训练日志、教育资料等数据，提供数据分析与可视化服务，输出有价值的数据结果，不仅为临床应用提供准确指导，同时也为科研提供数据支持。</w:t>
      </w:r>
    </w:p>
    <w:p>
      <w:pPr>
        <w:pStyle w:val="5"/>
      </w:pPr>
      <w:r>
        <w:t>3.4</w:t>
      </w:r>
      <w:r>
        <w:rPr>
          <w:rFonts w:hint="eastAsia"/>
          <w:lang w:val="en-US" w:eastAsia="zh-CN"/>
        </w:rPr>
        <w:t>软硬件</w:t>
      </w:r>
      <w:r>
        <w:rPr>
          <w:rFonts w:hint="eastAsia"/>
        </w:rPr>
        <w:t>设备配置</w:t>
      </w:r>
    </w:p>
    <w:tbl>
      <w:tblPr>
        <w:tblStyle w:val="23"/>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6"/>
        <w:gridCol w:w="6398"/>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406" w:type="dxa"/>
            <w:shd w:val="clear" w:color="auto" w:fill="D9E2F3" w:themeFill="accent1" w:themeFillTint="33"/>
          </w:tcPr>
          <w:p>
            <w:pPr>
              <w:pStyle w:val="3"/>
              <w:jc w:val="center"/>
              <w:rPr>
                <w:rFonts w:ascii="仿宋" w:hAnsi="仿宋" w:eastAsia="仿宋"/>
                <w:b/>
                <w:bCs/>
                <w:sz w:val="24"/>
                <w:szCs w:val="24"/>
              </w:rPr>
            </w:pPr>
            <w:r>
              <w:rPr>
                <w:rFonts w:hint="eastAsia" w:ascii="仿宋" w:hAnsi="仿宋" w:eastAsia="仿宋"/>
                <w:b/>
                <w:bCs/>
                <w:sz w:val="24"/>
                <w:szCs w:val="24"/>
              </w:rPr>
              <w:t>设备名称</w:t>
            </w:r>
          </w:p>
        </w:tc>
        <w:tc>
          <w:tcPr>
            <w:tcW w:w="6398" w:type="dxa"/>
            <w:shd w:val="clear" w:color="auto" w:fill="D9E2F3" w:themeFill="accent1" w:themeFillTint="33"/>
            <w:noWrap/>
          </w:tcPr>
          <w:p>
            <w:pPr>
              <w:pStyle w:val="3"/>
              <w:jc w:val="center"/>
              <w:rPr>
                <w:rFonts w:ascii="仿宋" w:hAnsi="仿宋" w:eastAsia="仿宋"/>
                <w:b/>
                <w:bCs/>
                <w:sz w:val="24"/>
                <w:szCs w:val="24"/>
              </w:rPr>
            </w:pPr>
            <w:r>
              <w:rPr>
                <w:rFonts w:hint="eastAsia" w:ascii="仿宋" w:hAnsi="仿宋" w:eastAsia="仿宋"/>
                <w:b/>
                <w:bCs/>
                <w:sz w:val="24"/>
                <w:szCs w:val="24"/>
              </w:rPr>
              <w:t>主要功能</w:t>
            </w:r>
          </w:p>
        </w:tc>
        <w:tc>
          <w:tcPr>
            <w:tcW w:w="838" w:type="dxa"/>
            <w:shd w:val="clear" w:color="auto" w:fill="D9E2F3" w:themeFill="accent1" w:themeFillTint="33"/>
          </w:tcPr>
          <w:p>
            <w:pPr>
              <w:pStyle w:val="3"/>
              <w:jc w:val="center"/>
              <w:rPr>
                <w:rFonts w:ascii="仿宋" w:hAnsi="仿宋" w:eastAsia="仿宋"/>
                <w:b/>
                <w:bCs/>
                <w:sz w:val="24"/>
                <w:szCs w:val="24"/>
              </w:rPr>
            </w:pPr>
            <w:r>
              <w:rPr>
                <w:rFonts w:hint="eastAsia" w:ascii="仿宋" w:hAnsi="仿宋" w:eastAsia="仿宋"/>
                <w:b/>
                <w:bCs/>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406" w:type="dxa"/>
          </w:tcPr>
          <w:p>
            <w:pPr>
              <w:pStyle w:val="3"/>
              <w:rPr>
                <w:rFonts w:ascii="仿宋" w:hAnsi="仿宋" w:eastAsia="仿宋"/>
                <w:sz w:val="24"/>
                <w:szCs w:val="24"/>
              </w:rPr>
            </w:pPr>
            <w:r>
              <w:rPr>
                <w:rFonts w:hint="eastAsia" w:ascii="仿宋" w:hAnsi="仿宋" w:eastAsia="仿宋"/>
                <w:sz w:val="24"/>
                <w:szCs w:val="24"/>
              </w:rPr>
              <w:t>主系统</w:t>
            </w:r>
          </w:p>
        </w:tc>
        <w:tc>
          <w:tcPr>
            <w:tcW w:w="6398" w:type="dxa"/>
            <w:noWrap/>
          </w:tcPr>
          <w:p>
            <w:pPr>
              <w:pStyle w:val="3"/>
              <w:rPr>
                <w:rFonts w:ascii="仿宋" w:hAnsi="仿宋" w:eastAsia="仿宋"/>
                <w:sz w:val="24"/>
                <w:szCs w:val="24"/>
              </w:rPr>
            </w:pPr>
            <w:r>
              <w:rPr>
                <w:rFonts w:hint="eastAsia" w:ascii="仿宋" w:hAnsi="仿宋" w:eastAsia="仿宋"/>
                <w:sz w:val="24"/>
                <w:szCs w:val="24"/>
              </w:rPr>
              <w:t>认知功能康复训练与评估软件系统</w:t>
            </w:r>
          </w:p>
        </w:tc>
        <w:tc>
          <w:tcPr>
            <w:tcW w:w="838" w:type="dxa"/>
          </w:tcPr>
          <w:p>
            <w:pPr>
              <w:pStyle w:val="3"/>
              <w:rPr>
                <w:rFonts w:ascii="仿宋" w:hAnsi="仿宋" w:eastAsia="仿宋"/>
                <w:sz w:val="24"/>
                <w:szCs w:val="24"/>
              </w:rPr>
            </w:pPr>
            <w:r>
              <w:rPr>
                <w:rFonts w:hint="eastAsia" w:ascii="仿宋" w:hAnsi="仿宋" w:eastAsia="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1406" w:type="dxa"/>
          </w:tcPr>
          <w:p>
            <w:pPr>
              <w:pStyle w:val="3"/>
              <w:rPr>
                <w:rFonts w:ascii="仿宋" w:hAnsi="仿宋" w:eastAsia="仿宋"/>
                <w:sz w:val="24"/>
                <w:szCs w:val="24"/>
              </w:rPr>
            </w:pPr>
          </w:p>
        </w:tc>
        <w:tc>
          <w:tcPr>
            <w:tcW w:w="6398" w:type="dxa"/>
          </w:tcPr>
          <w:p>
            <w:pPr>
              <w:pStyle w:val="3"/>
              <w:rPr>
                <w:rFonts w:ascii="仿宋" w:hAnsi="仿宋" w:eastAsia="仿宋"/>
                <w:sz w:val="24"/>
                <w:szCs w:val="24"/>
              </w:rPr>
            </w:pPr>
            <w:r>
              <w:rPr>
                <w:rFonts w:hint="eastAsia" w:ascii="仿宋" w:hAnsi="仿宋" w:eastAsia="仿宋"/>
                <w:sz w:val="24"/>
                <w:szCs w:val="24"/>
              </w:rPr>
              <w:t>本系统是基于认知科学、神经科学、医学、心理学、运动科学等多学科关于大脑工作原理、脑疾病与脑健康的前沿理论与科技成果，在十余年的脑健康大数据的基础上，研发而成。有效辨识主观认知障碍、轻度认知障碍、老年性痴呆等的患病风险，实现多学科协同的认知障碍一体化管理应用。主要应用于医疗相关领域，辅助神经内科、精神科、老年科、康复科等医院科室医生实现脑健康评估、认知康复、数据查询、患者管理等功能</w:t>
            </w:r>
          </w:p>
        </w:tc>
        <w:tc>
          <w:tcPr>
            <w:tcW w:w="838" w:type="dxa"/>
          </w:tcPr>
          <w:p>
            <w:pPr>
              <w:pStyle w:val="3"/>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406" w:type="dxa"/>
          </w:tcPr>
          <w:p>
            <w:pPr>
              <w:pStyle w:val="3"/>
              <w:rPr>
                <w:rFonts w:ascii="仿宋" w:hAnsi="仿宋" w:eastAsia="仿宋"/>
                <w:sz w:val="24"/>
                <w:szCs w:val="24"/>
              </w:rPr>
            </w:pPr>
            <w:r>
              <w:rPr>
                <w:rFonts w:hint="eastAsia" w:ascii="仿宋" w:hAnsi="仿宋" w:eastAsia="仿宋"/>
                <w:sz w:val="24"/>
                <w:szCs w:val="24"/>
              </w:rPr>
              <w:t>子系统1</w:t>
            </w:r>
          </w:p>
        </w:tc>
        <w:tc>
          <w:tcPr>
            <w:tcW w:w="6398" w:type="dxa"/>
          </w:tcPr>
          <w:p>
            <w:pPr>
              <w:pStyle w:val="3"/>
              <w:rPr>
                <w:rFonts w:ascii="仿宋" w:hAnsi="仿宋" w:eastAsia="仿宋"/>
                <w:sz w:val="24"/>
                <w:szCs w:val="24"/>
              </w:rPr>
            </w:pPr>
            <w:r>
              <w:rPr>
                <w:rFonts w:hint="eastAsia" w:ascii="仿宋" w:hAnsi="仿宋" w:eastAsia="仿宋"/>
                <w:sz w:val="24"/>
                <w:szCs w:val="24"/>
              </w:rPr>
              <w:t>认知功能评估管理系统</w:t>
            </w:r>
          </w:p>
        </w:tc>
        <w:tc>
          <w:tcPr>
            <w:tcW w:w="838" w:type="dxa"/>
          </w:tcPr>
          <w:p>
            <w:pPr>
              <w:pStyle w:val="3"/>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2" w:hRule="atLeast"/>
        </w:trPr>
        <w:tc>
          <w:tcPr>
            <w:tcW w:w="1406" w:type="dxa"/>
          </w:tcPr>
          <w:p>
            <w:pPr>
              <w:pStyle w:val="3"/>
              <w:rPr>
                <w:rFonts w:ascii="仿宋" w:hAnsi="仿宋" w:eastAsia="仿宋"/>
                <w:sz w:val="24"/>
                <w:szCs w:val="24"/>
              </w:rPr>
            </w:pPr>
            <w:r>
              <w:rPr>
                <w:rFonts w:hint="eastAsia" w:ascii="仿宋" w:hAnsi="仿宋" w:eastAsia="仿宋"/>
                <w:sz w:val="24"/>
                <w:szCs w:val="24"/>
              </w:rPr>
              <w:t>系统端（系统平台）</w:t>
            </w:r>
          </w:p>
        </w:tc>
        <w:tc>
          <w:tcPr>
            <w:tcW w:w="6398" w:type="dxa"/>
          </w:tcPr>
          <w:p>
            <w:pPr>
              <w:pStyle w:val="3"/>
              <w:rPr>
                <w:rFonts w:ascii="仿宋" w:hAnsi="仿宋" w:eastAsia="仿宋"/>
                <w:sz w:val="24"/>
                <w:szCs w:val="24"/>
              </w:rPr>
            </w:pPr>
            <w:r>
              <w:rPr>
                <w:rFonts w:hint="eastAsia" w:ascii="仿宋" w:hAnsi="仿宋" w:eastAsia="仿宋"/>
                <w:sz w:val="24"/>
                <w:szCs w:val="24"/>
              </w:rPr>
              <w:t>软件功能：为认知功能评估管理系统后台管理系统，基于大脑认知老化发展规律研究成果和中国人群认知数据常模，以记忆、执行、注意、言语等高级认知功能为核心目标，将公认的具有较高诊断价值的神经认知评估科学内容内化于体检系统之中，可采集和分析脑健康风险相关数据，准确定位患者各项认知功能，并出具脑健康体检报告，从而辅助医疗诊断。</w:t>
            </w:r>
          </w:p>
        </w:tc>
        <w:tc>
          <w:tcPr>
            <w:tcW w:w="838" w:type="dxa"/>
          </w:tcPr>
          <w:p>
            <w:pPr>
              <w:pStyle w:val="3"/>
              <w:rPr>
                <w:rFonts w:ascii="仿宋" w:hAnsi="仿宋" w:eastAsia="仿宋"/>
                <w:sz w:val="24"/>
                <w:szCs w:val="24"/>
              </w:rPr>
            </w:pPr>
            <w:r>
              <w:rPr>
                <w:rFonts w:hint="eastAsia" w:ascii="仿宋" w:hAnsi="仿宋" w:eastAsia="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6" w:type="dxa"/>
          </w:tcPr>
          <w:p>
            <w:pPr>
              <w:pStyle w:val="3"/>
              <w:rPr>
                <w:rFonts w:ascii="仿宋" w:hAnsi="仿宋" w:eastAsia="仿宋"/>
                <w:sz w:val="24"/>
                <w:szCs w:val="24"/>
              </w:rPr>
            </w:pPr>
            <w:r>
              <w:rPr>
                <w:rFonts w:hint="eastAsia" w:ascii="仿宋" w:hAnsi="仿宋" w:eastAsia="仿宋"/>
                <w:sz w:val="24"/>
                <w:szCs w:val="24"/>
              </w:rPr>
              <w:t>医生端（认知功能评估管理系统医生工作站）</w:t>
            </w:r>
          </w:p>
        </w:tc>
        <w:tc>
          <w:tcPr>
            <w:tcW w:w="6398" w:type="dxa"/>
          </w:tcPr>
          <w:p>
            <w:pPr>
              <w:pStyle w:val="3"/>
              <w:rPr>
                <w:rFonts w:ascii="仿宋" w:hAnsi="仿宋" w:eastAsia="仿宋"/>
                <w:sz w:val="24"/>
                <w:szCs w:val="24"/>
              </w:rPr>
            </w:pPr>
            <w:r>
              <w:rPr>
                <w:rFonts w:hint="eastAsia" w:ascii="仿宋" w:hAnsi="仿宋" w:eastAsia="仿宋"/>
                <w:sz w:val="24"/>
                <w:szCs w:val="24"/>
              </w:rPr>
              <w:t>软件功能：认知功能评估管理系统端医生工作站，实现系统端软件功能及内容，系统管理员可创建医生管理账号，开通医生权限，查看医生工作动态，汇总、分析医生管理系统中的患者康复训练相关数据，可视化呈现数据分析结果。</w:t>
            </w:r>
          </w:p>
        </w:tc>
        <w:tc>
          <w:tcPr>
            <w:tcW w:w="838" w:type="dxa"/>
          </w:tcPr>
          <w:p>
            <w:pPr>
              <w:pStyle w:val="3"/>
              <w:rPr>
                <w:rFonts w:ascii="仿宋" w:hAnsi="仿宋" w:eastAsia="仿宋"/>
                <w:sz w:val="24"/>
                <w:szCs w:val="24"/>
              </w:rPr>
            </w:pPr>
            <w:r>
              <w:rPr>
                <w:rFonts w:hint="eastAsia" w:ascii="仿宋" w:hAnsi="仿宋" w:eastAsia="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6" w:type="dxa"/>
          </w:tcPr>
          <w:p>
            <w:pPr>
              <w:pStyle w:val="3"/>
              <w:rPr>
                <w:rFonts w:ascii="仿宋" w:hAnsi="仿宋" w:eastAsia="仿宋"/>
                <w:sz w:val="24"/>
                <w:szCs w:val="24"/>
              </w:rPr>
            </w:pPr>
            <w:r>
              <w:rPr>
                <w:rFonts w:hint="eastAsia" w:ascii="仿宋" w:hAnsi="仿宋" w:eastAsia="仿宋"/>
                <w:sz w:val="24"/>
                <w:szCs w:val="24"/>
              </w:rPr>
              <w:t>硬件端（认知功能评估管理系统专业采集端）</w:t>
            </w:r>
          </w:p>
        </w:tc>
        <w:tc>
          <w:tcPr>
            <w:tcW w:w="6398" w:type="dxa"/>
          </w:tcPr>
          <w:p>
            <w:pPr>
              <w:pStyle w:val="3"/>
              <w:rPr>
                <w:rFonts w:ascii="仿宋" w:hAnsi="仿宋" w:eastAsia="仿宋"/>
                <w:sz w:val="24"/>
                <w:szCs w:val="24"/>
              </w:rPr>
            </w:pPr>
            <w:r>
              <w:rPr>
                <w:rFonts w:hint="eastAsia" w:ascii="仿宋" w:hAnsi="仿宋" w:eastAsia="仿宋"/>
                <w:sz w:val="24"/>
                <w:szCs w:val="24"/>
              </w:rPr>
              <w:t>软件功能</w:t>
            </w:r>
            <w:r>
              <w:rPr>
                <w:rFonts w:hint="eastAsia" w:ascii="仿宋" w:hAnsi="仿宋" w:eastAsia="仿宋"/>
                <w:sz w:val="24"/>
                <w:szCs w:val="24"/>
              </w:rPr>
              <w:br w:type="textWrapping"/>
            </w:r>
            <w:r>
              <w:rPr>
                <w:rFonts w:hint="eastAsia" w:ascii="仿宋" w:hAnsi="仿宋" w:eastAsia="仿宋"/>
                <w:sz w:val="24"/>
                <w:szCs w:val="24"/>
              </w:rPr>
              <w:t>记忆门诊、痴呆风险筛查、高级认知评估、临床精神心理测评，全套认知障碍评估，其中临床精神心理测评包括含神经心理多维度近80余项测验；可自由组合进行测评；适合进行针对性评估和科学研究；适合临床辅助诊断。</w:t>
            </w:r>
            <w:r>
              <w:rPr>
                <w:rFonts w:hint="eastAsia" w:ascii="仿宋" w:hAnsi="仿宋" w:eastAsia="仿宋"/>
                <w:sz w:val="24"/>
                <w:szCs w:val="24"/>
              </w:rPr>
              <w:br w:type="textWrapping"/>
            </w:r>
          </w:p>
        </w:tc>
        <w:tc>
          <w:tcPr>
            <w:tcW w:w="838" w:type="dxa"/>
          </w:tcPr>
          <w:p>
            <w:pPr>
              <w:pStyle w:val="3"/>
              <w:rPr>
                <w:rFonts w:ascii="仿宋" w:hAnsi="仿宋" w:eastAsia="仿宋"/>
                <w:sz w:val="24"/>
                <w:szCs w:val="24"/>
              </w:rPr>
            </w:pPr>
            <w:r>
              <w:rPr>
                <w:rFonts w:hint="eastAsia" w:ascii="仿宋" w:hAnsi="仿宋" w:eastAsia="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6" w:type="dxa"/>
          </w:tcPr>
          <w:p>
            <w:pPr>
              <w:pStyle w:val="3"/>
              <w:rPr>
                <w:rFonts w:ascii="仿宋" w:hAnsi="仿宋" w:eastAsia="仿宋"/>
                <w:sz w:val="24"/>
                <w:szCs w:val="24"/>
              </w:rPr>
            </w:pPr>
            <w:r>
              <w:rPr>
                <w:rFonts w:hint="eastAsia" w:ascii="仿宋" w:hAnsi="仿宋" w:eastAsia="仿宋"/>
                <w:sz w:val="24"/>
                <w:szCs w:val="24"/>
              </w:rPr>
              <w:t>子系统2</w:t>
            </w:r>
          </w:p>
        </w:tc>
        <w:tc>
          <w:tcPr>
            <w:tcW w:w="6398" w:type="dxa"/>
          </w:tcPr>
          <w:p>
            <w:pPr>
              <w:pStyle w:val="3"/>
              <w:rPr>
                <w:rFonts w:ascii="仿宋" w:hAnsi="仿宋" w:eastAsia="仿宋"/>
                <w:sz w:val="24"/>
                <w:szCs w:val="24"/>
              </w:rPr>
            </w:pPr>
            <w:r>
              <w:rPr>
                <w:rFonts w:hint="eastAsia" w:ascii="仿宋" w:hAnsi="仿宋" w:eastAsia="仿宋"/>
                <w:sz w:val="24"/>
                <w:szCs w:val="24"/>
              </w:rPr>
              <w:t>认知功能康复训练管理系统</w:t>
            </w:r>
          </w:p>
        </w:tc>
        <w:tc>
          <w:tcPr>
            <w:tcW w:w="838" w:type="dxa"/>
          </w:tcPr>
          <w:p>
            <w:pPr>
              <w:pStyle w:val="3"/>
              <w:rPr>
                <w:rFonts w:ascii="仿宋" w:hAnsi="仿宋" w:eastAsia="仿宋"/>
                <w:sz w:val="24"/>
                <w:szCs w:val="24"/>
              </w:rPr>
            </w:pPr>
            <w:r>
              <w:rPr>
                <w:rFonts w:hint="eastAsia" w:ascii="仿宋" w:hAnsi="仿宋" w:eastAsia="仿宋"/>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06" w:type="dxa"/>
            <w:vMerge w:val="restart"/>
          </w:tcPr>
          <w:p>
            <w:pPr>
              <w:pStyle w:val="3"/>
              <w:rPr>
                <w:rFonts w:ascii="仿宋" w:hAnsi="仿宋" w:eastAsia="仿宋"/>
                <w:sz w:val="24"/>
                <w:szCs w:val="24"/>
              </w:rPr>
            </w:pPr>
            <w:r>
              <w:rPr>
                <w:rFonts w:hint="eastAsia" w:ascii="仿宋" w:hAnsi="仿宋" w:eastAsia="仿宋"/>
                <w:sz w:val="24"/>
                <w:szCs w:val="24"/>
              </w:rPr>
              <w:t>医生端（认知功能康复训练管理医生工作站）</w:t>
            </w:r>
          </w:p>
        </w:tc>
        <w:tc>
          <w:tcPr>
            <w:tcW w:w="6398" w:type="dxa"/>
            <w:vMerge w:val="restart"/>
          </w:tcPr>
          <w:p>
            <w:pPr>
              <w:pStyle w:val="3"/>
              <w:rPr>
                <w:rFonts w:ascii="仿宋" w:hAnsi="仿宋" w:eastAsia="仿宋"/>
                <w:sz w:val="24"/>
                <w:szCs w:val="24"/>
              </w:rPr>
            </w:pPr>
            <w:r>
              <w:rPr>
                <w:rFonts w:hint="eastAsia" w:ascii="仿宋" w:hAnsi="仿宋" w:eastAsia="仿宋"/>
                <w:sz w:val="24"/>
                <w:szCs w:val="24"/>
              </w:rPr>
              <w:t>软件功能</w:t>
            </w:r>
            <w:r>
              <w:rPr>
                <w:rFonts w:hint="eastAsia" w:ascii="仿宋" w:hAnsi="仿宋" w:eastAsia="仿宋"/>
                <w:sz w:val="24"/>
                <w:szCs w:val="24"/>
              </w:rPr>
              <w:br w:type="textWrapping"/>
            </w:r>
            <w:r>
              <w:rPr>
                <w:rFonts w:hint="eastAsia" w:ascii="仿宋" w:hAnsi="仿宋" w:eastAsia="仿宋"/>
                <w:sz w:val="24"/>
                <w:szCs w:val="24"/>
              </w:rPr>
              <w:t>为认知康复训练管理系统的医生工作站，医生可创建患者账号，填写和修改患者个人信息，对患者进行分类管理，为患者设置和更新训练方案，实时查看患者训练记录。可用于认知康复相关的临床科研，管理康复训练方案和监控患者训练动态。</w:t>
            </w:r>
          </w:p>
        </w:tc>
        <w:tc>
          <w:tcPr>
            <w:tcW w:w="838" w:type="dxa"/>
            <w:vMerge w:val="restart"/>
          </w:tcPr>
          <w:p>
            <w:pPr>
              <w:pStyle w:val="3"/>
              <w:rPr>
                <w:rFonts w:ascii="仿宋" w:hAnsi="仿宋" w:eastAsia="仿宋"/>
                <w:sz w:val="24"/>
                <w:szCs w:val="24"/>
              </w:rPr>
            </w:pPr>
            <w:r>
              <w:rPr>
                <w:rFonts w:hint="eastAsia" w:ascii="仿宋" w:hAnsi="仿宋" w:eastAsia="仿宋"/>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1406" w:type="dxa"/>
            <w:vMerge w:val="continue"/>
          </w:tcPr>
          <w:p>
            <w:pPr>
              <w:pStyle w:val="3"/>
              <w:rPr>
                <w:rFonts w:ascii="仿宋" w:hAnsi="仿宋" w:eastAsia="仿宋"/>
                <w:sz w:val="24"/>
                <w:szCs w:val="24"/>
              </w:rPr>
            </w:pPr>
          </w:p>
        </w:tc>
        <w:tc>
          <w:tcPr>
            <w:tcW w:w="6398" w:type="dxa"/>
            <w:vMerge w:val="continue"/>
          </w:tcPr>
          <w:p>
            <w:pPr>
              <w:pStyle w:val="3"/>
              <w:rPr>
                <w:rFonts w:ascii="仿宋" w:hAnsi="仿宋" w:eastAsia="仿宋"/>
                <w:sz w:val="24"/>
                <w:szCs w:val="24"/>
              </w:rPr>
            </w:pPr>
          </w:p>
        </w:tc>
        <w:tc>
          <w:tcPr>
            <w:tcW w:w="838" w:type="dxa"/>
            <w:vMerge w:val="continue"/>
          </w:tcPr>
          <w:p>
            <w:pPr>
              <w:pStyle w:val="3"/>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6" w:type="dxa"/>
          </w:tcPr>
          <w:p>
            <w:pPr>
              <w:pStyle w:val="3"/>
              <w:rPr>
                <w:rFonts w:ascii="仿宋" w:hAnsi="仿宋" w:eastAsia="仿宋"/>
                <w:sz w:val="24"/>
                <w:szCs w:val="24"/>
              </w:rPr>
            </w:pPr>
            <w:r>
              <w:rPr>
                <w:rFonts w:hint="eastAsia" w:ascii="仿宋" w:hAnsi="仿宋" w:eastAsia="仿宋"/>
                <w:sz w:val="24"/>
                <w:szCs w:val="24"/>
              </w:rPr>
              <w:t>硬件端（认知功能康复训练应用设备）</w:t>
            </w:r>
          </w:p>
        </w:tc>
        <w:tc>
          <w:tcPr>
            <w:tcW w:w="6398" w:type="dxa"/>
          </w:tcPr>
          <w:p>
            <w:pPr>
              <w:pStyle w:val="3"/>
              <w:rPr>
                <w:rFonts w:ascii="仿宋" w:hAnsi="仿宋" w:eastAsia="仿宋"/>
                <w:sz w:val="24"/>
                <w:szCs w:val="24"/>
              </w:rPr>
            </w:pPr>
            <w:r>
              <w:rPr>
                <w:rFonts w:hint="eastAsia" w:ascii="仿宋" w:hAnsi="仿宋" w:eastAsia="仿宋"/>
                <w:sz w:val="24"/>
                <w:szCs w:val="24"/>
              </w:rPr>
              <w:t>软件功能</w:t>
            </w:r>
            <w:r>
              <w:rPr>
                <w:rFonts w:hint="eastAsia" w:ascii="仿宋" w:hAnsi="仿宋" w:eastAsia="仿宋"/>
                <w:sz w:val="24"/>
                <w:szCs w:val="24"/>
              </w:rPr>
              <w:br w:type="textWrapping"/>
            </w:r>
            <w:r>
              <w:rPr>
                <w:rFonts w:hint="eastAsia" w:ascii="仿宋" w:hAnsi="仿宋" w:eastAsia="仿宋"/>
                <w:sz w:val="24"/>
                <w:szCs w:val="24"/>
              </w:rPr>
              <w:t>查看康复训练方案内容；进行脑健康认知康复训练；提供脑健康测评报告；查看训练日志和脑力指数。医护人员指导患者使用该系统，患者通过该系统可获得康复方案，了解和进行记忆力训练、注意力训练、感知觉训练、语言能力训练、逻辑推理训练等认知功能训练。</w:t>
            </w:r>
          </w:p>
        </w:tc>
        <w:tc>
          <w:tcPr>
            <w:tcW w:w="838" w:type="dxa"/>
          </w:tcPr>
          <w:p>
            <w:pPr>
              <w:pStyle w:val="3"/>
              <w:rPr>
                <w:rFonts w:ascii="仿宋" w:hAnsi="仿宋" w:eastAsia="仿宋"/>
                <w:sz w:val="24"/>
                <w:szCs w:val="24"/>
              </w:rPr>
            </w:pPr>
            <w:r>
              <w:rPr>
                <w:rFonts w:hint="eastAsia" w:ascii="仿宋" w:hAnsi="仿宋" w:eastAsia="仿宋"/>
                <w:sz w:val="24"/>
                <w:szCs w:val="24"/>
              </w:rPr>
              <w:t>1</w:t>
            </w:r>
          </w:p>
        </w:tc>
      </w:tr>
    </w:tbl>
    <w:p>
      <w:pPr>
        <w:spacing w:line="360" w:lineRule="auto"/>
        <w:rPr>
          <w:rFonts w:ascii="仿宋_GB2312" w:hAnsi="仿宋_GB2312" w:eastAsia="仿宋_GB2312" w:cs="仿宋_GB2312"/>
          <w:sz w:val="28"/>
          <w:szCs w:val="28"/>
        </w:rPr>
      </w:pPr>
    </w:p>
    <w:p>
      <w:pPr>
        <w:pStyle w:val="4"/>
        <w:jc w:val="center"/>
        <w:rPr>
          <w:rFonts w:ascii="仿宋" w:hAnsi="仿宋" w:eastAsia="仿宋" w:cs="仿宋"/>
          <w:b w:val="0"/>
          <w:szCs w:val="44"/>
        </w:rPr>
      </w:pPr>
      <w:bookmarkStart w:id="15" w:name="_Toc4081"/>
      <w:bookmarkStart w:id="16" w:name="_Toc2842"/>
      <w:r>
        <w:rPr>
          <w:rFonts w:hint="eastAsia" w:ascii="仿宋" w:hAnsi="仿宋" w:eastAsia="仿宋" w:cs="仿宋"/>
          <w:b w:val="0"/>
          <w:szCs w:val="44"/>
        </w:rPr>
        <w:t>第四章 本期项目建设方案</w:t>
      </w:r>
      <w:bookmarkEnd w:id="15"/>
      <w:bookmarkEnd w:id="16"/>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依照《三级综合医院登记现场审核细则》及《三级医院评审标准安徽省实施细则（试行）》要求，我院“记忆门诊”现已开诊，诊疗范围为：主诉认知障碍、轻度认知障碍、老年痴呆症等神经退行性疾病，为提高诊疗服务能力与效率，现依照规制申请配置1套认知功能康复训练与评估软件系统，用于患者的认知能力评估与认知功能康复训练。认知功能康复训练与评估软件系统包含认知功能评估管理系统、认知功能康复训练管理系统。</w:t>
      </w:r>
    </w:p>
    <w:p>
      <w:pPr>
        <w:pStyle w:val="5"/>
      </w:pPr>
      <w:r>
        <w:t>4.1</w:t>
      </w:r>
      <w:r>
        <w:rPr>
          <w:rFonts w:hint="eastAsia"/>
        </w:rPr>
        <w:t>认知功能评估管理系统建设方案</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认知功能评估管理系统（认知功能评估管理医生工作站、认知功能评估专业采集端组成），该系统构建了分级筛查体系，包括基础筛查和专项筛查。可进行脑健康筛查、高级认知功能评估、痴呆风险测评及临床全套神经心理量表测评，全程追踪管理患者脑健康水平，实现快速分级测评，精准诊断认知。评定结果能够自动出具评估报告，医生可对报告进行必要编辑功能，并涵盖如下内容：</w:t>
      </w:r>
    </w:p>
    <w:tbl>
      <w:tblPr>
        <w:tblStyle w:val="23"/>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977"/>
        <w:gridCol w:w="2693"/>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widowControl/>
              <w:spacing w:line="300" w:lineRule="auto"/>
              <w:jc w:val="center"/>
              <w:rPr>
                <w:rFonts w:ascii="仿宋" w:hAnsi="仿宋" w:eastAsia="仿宋"/>
                <w:b/>
                <w:bCs/>
                <w:szCs w:val="21"/>
              </w:rPr>
            </w:pPr>
            <w:r>
              <w:rPr>
                <w:rFonts w:hint="eastAsia" w:ascii="仿宋" w:hAnsi="仿宋" w:eastAsia="仿宋"/>
                <w:b/>
                <w:bCs/>
                <w:szCs w:val="21"/>
              </w:rPr>
              <w:t>测评项目</w:t>
            </w:r>
          </w:p>
        </w:tc>
        <w:tc>
          <w:tcPr>
            <w:tcW w:w="2977" w:type="dxa"/>
            <w:vAlign w:val="center"/>
          </w:tcPr>
          <w:p>
            <w:pPr>
              <w:widowControl/>
              <w:spacing w:line="300" w:lineRule="auto"/>
              <w:jc w:val="center"/>
              <w:rPr>
                <w:rFonts w:ascii="仿宋" w:hAnsi="仿宋" w:eastAsia="仿宋"/>
                <w:b/>
                <w:bCs/>
                <w:szCs w:val="21"/>
              </w:rPr>
            </w:pPr>
            <w:r>
              <w:rPr>
                <w:rFonts w:ascii="仿宋" w:hAnsi="仿宋" w:eastAsia="仿宋"/>
                <w:b/>
                <w:bCs/>
                <w:szCs w:val="21"/>
              </w:rPr>
              <w:t>测评内容</w:t>
            </w:r>
          </w:p>
        </w:tc>
        <w:tc>
          <w:tcPr>
            <w:tcW w:w="2693" w:type="dxa"/>
            <w:vAlign w:val="center"/>
          </w:tcPr>
          <w:p>
            <w:pPr>
              <w:widowControl/>
              <w:spacing w:line="300" w:lineRule="auto"/>
              <w:jc w:val="center"/>
              <w:rPr>
                <w:rFonts w:ascii="仿宋" w:hAnsi="仿宋" w:eastAsia="仿宋"/>
                <w:b/>
                <w:bCs/>
                <w:szCs w:val="21"/>
              </w:rPr>
            </w:pPr>
            <w:r>
              <w:rPr>
                <w:rFonts w:hint="eastAsia" w:ascii="仿宋" w:hAnsi="仿宋" w:eastAsia="仿宋"/>
                <w:b/>
                <w:bCs/>
                <w:szCs w:val="21"/>
              </w:rPr>
              <w:t>临床意义</w:t>
            </w:r>
          </w:p>
        </w:tc>
        <w:tc>
          <w:tcPr>
            <w:tcW w:w="1565" w:type="dxa"/>
            <w:vAlign w:val="center"/>
          </w:tcPr>
          <w:p>
            <w:pPr>
              <w:widowControl/>
              <w:spacing w:line="300" w:lineRule="auto"/>
              <w:jc w:val="center"/>
              <w:rPr>
                <w:rFonts w:ascii="仿宋" w:hAnsi="仿宋" w:eastAsia="仿宋"/>
                <w:b/>
                <w:bCs/>
                <w:szCs w:val="21"/>
              </w:rPr>
            </w:pPr>
            <w:r>
              <w:rPr>
                <w:rFonts w:hint="eastAsia" w:ascii="仿宋" w:hAnsi="仿宋" w:eastAsia="仿宋"/>
                <w:b/>
                <w:bCs/>
                <w:szCs w:val="21"/>
              </w:rPr>
              <w:t>适用人群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记忆门诊筛查</w:t>
            </w:r>
          </w:p>
          <w:p>
            <w:pPr>
              <w:spacing w:after="120"/>
              <w:jc w:val="center"/>
              <w:rPr>
                <w:rFonts w:ascii="仿宋" w:hAnsi="仿宋" w:eastAsia="仿宋"/>
                <w:b/>
                <w:bCs/>
                <w:szCs w:val="21"/>
              </w:rPr>
            </w:pPr>
            <w:r>
              <w:rPr>
                <w:rFonts w:ascii="仿宋" w:hAnsi="仿宋" w:eastAsia="仿宋"/>
                <w:b/>
                <w:bCs/>
                <w:szCs w:val="21"/>
              </w:rPr>
              <w:t>（6分钟）</w:t>
            </w:r>
          </w:p>
        </w:tc>
        <w:tc>
          <w:tcPr>
            <w:tcW w:w="2977" w:type="dxa"/>
            <w:vAlign w:val="center"/>
          </w:tcPr>
          <w:p>
            <w:pPr>
              <w:spacing w:after="120"/>
              <w:rPr>
                <w:rFonts w:ascii="仿宋" w:hAnsi="仿宋" w:eastAsia="仿宋"/>
                <w:szCs w:val="21"/>
              </w:rPr>
            </w:pPr>
            <w:r>
              <w:rPr>
                <w:rFonts w:hint="eastAsia" w:ascii="仿宋" w:hAnsi="仿宋" w:eastAsia="仿宋"/>
                <w:szCs w:val="21"/>
              </w:rPr>
              <w:t>全面问诊主诉情况，评估一般认知功能、情景记忆能力。</w:t>
            </w:r>
          </w:p>
        </w:tc>
        <w:tc>
          <w:tcPr>
            <w:tcW w:w="2693" w:type="dxa"/>
            <w:vAlign w:val="center"/>
          </w:tcPr>
          <w:p>
            <w:pPr>
              <w:spacing w:after="120"/>
              <w:rPr>
                <w:rFonts w:ascii="仿宋" w:hAnsi="仿宋" w:eastAsia="仿宋"/>
                <w:szCs w:val="21"/>
              </w:rPr>
            </w:pPr>
            <w:r>
              <w:rPr>
                <w:rFonts w:hint="eastAsia" w:ascii="仿宋" w:hAnsi="仿宋" w:eastAsia="仿宋"/>
                <w:szCs w:val="21"/>
              </w:rPr>
              <w:t>快速筛查是否患有认知障碍的风险</w:t>
            </w:r>
          </w:p>
        </w:tc>
        <w:tc>
          <w:tcPr>
            <w:tcW w:w="1565" w:type="dxa"/>
            <w:vAlign w:val="center"/>
          </w:tcPr>
          <w:p>
            <w:pPr>
              <w:spacing w:after="120"/>
              <w:rPr>
                <w:rFonts w:ascii="仿宋" w:hAnsi="仿宋" w:eastAsia="仿宋"/>
                <w:szCs w:val="21"/>
              </w:rPr>
            </w:pPr>
            <w:r>
              <w:rPr>
                <w:rFonts w:hint="eastAsia" w:ascii="仿宋" w:hAnsi="仿宋" w:eastAsia="仿宋"/>
                <w:szCs w:val="21"/>
              </w:rPr>
              <w:t>4</w:t>
            </w:r>
            <w:r>
              <w:rPr>
                <w:rFonts w:ascii="仿宋" w:hAnsi="仿宋" w:eastAsia="仿宋"/>
                <w:szCs w:val="21"/>
              </w:rPr>
              <w:t>0</w:t>
            </w:r>
            <w:r>
              <w:rPr>
                <w:rFonts w:hint="eastAsia" w:ascii="仿宋" w:hAnsi="仿宋" w:eastAsia="仿宋"/>
                <w:szCs w:val="21"/>
              </w:rPr>
              <w:t>岁以上人群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痴呆风险筛查</w:t>
            </w:r>
          </w:p>
          <w:p>
            <w:pPr>
              <w:spacing w:after="120"/>
              <w:jc w:val="center"/>
              <w:rPr>
                <w:rFonts w:ascii="仿宋" w:hAnsi="仿宋" w:eastAsia="仿宋"/>
                <w:b/>
                <w:bCs/>
                <w:szCs w:val="21"/>
              </w:rPr>
            </w:pPr>
            <w:r>
              <w:rPr>
                <w:rFonts w:ascii="仿宋" w:hAnsi="仿宋" w:eastAsia="仿宋"/>
                <w:b/>
                <w:bCs/>
                <w:szCs w:val="21"/>
              </w:rPr>
              <w:t>（35分钟）</w:t>
            </w:r>
          </w:p>
        </w:tc>
        <w:tc>
          <w:tcPr>
            <w:tcW w:w="2977" w:type="dxa"/>
            <w:vAlign w:val="center"/>
          </w:tcPr>
          <w:p>
            <w:pPr>
              <w:spacing w:after="120"/>
              <w:rPr>
                <w:rFonts w:ascii="仿宋" w:hAnsi="仿宋" w:eastAsia="仿宋"/>
                <w:szCs w:val="21"/>
              </w:rPr>
            </w:pPr>
            <w:r>
              <w:rPr>
                <w:rFonts w:hint="eastAsia" w:ascii="仿宋" w:hAnsi="仿宋" w:eastAsia="仿宋"/>
                <w:szCs w:val="21"/>
              </w:rPr>
              <w:t>系统评估能够客观反映痴呆症状的6项认知测评，生成痴呆风险指数。</w:t>
            </w:r>
          </w:p>
        </w:tc>
        <w:tc>
          <w:tcPr>
            <w:tcW w:w="2693" w:type="dxa"/>
            <w:vAlign w:val="center"/>
          </w:tcPr>
          <w:p>
            <w:pPr>
              <w:spacing w:after="120"/>
              <w:rPr>
                <w:rFonts w:ascii="仿宋" w:hAnsi="仿宋" w:eastAsia="仿宋"/>
                <w:szCs w:val="21"/>
              </w:rPr>
            </w:pPr>
            <w:r>
              <w:rPr>
                <w:rFonts w:hint="eastAsia" w:ascii="仿宋" w:hAnsi="仿宋" w:eastAsia="仿宋"/>
                <w:szCs w:val="21"/>
              </w:rPr>
              <w:t>轻度认知障碍辅助诊断，精准判别痴呆患病风险。</w:t>
            </w:r>
          </w:p>
        </w:tc>
        <w:tc>
          <w:tcPr>
            <w:tcW w:w="1565" w:type="dxa"/>
            <w:vAlign w:val="center"/>
          </w:tcPr>
          <w:p>
            <w:pPr>
              <w:spacing w:after="120"/>
              <w:rPr>
                <w:rFonts w:ascii="仿宋" w:hAnsi="仿宋" w:eastAsia="仿宋"/>
                <w:szCs w:val="21"/>
              </w:rPr>
            </w:pPr>
            <w:r>
              <w:rPr>
                <w:rFonts w:hint="eastAsia" w:ascii="仿宋" w:hAnsi="仿宋" w:eastAsia="仿宋"/>
                <w:szCs w:val="21"/>
              </w:rPr>
              <w:t>4</w:t>
            </w:r>
            <w:r>
              <w:rPr>
                <w:rFonts w:ascii="仿宋" w:hAnsi="仿宋" w:eastAsia="仿宋"/>
                <w:szCs w:val="21"/>
              </w:rPr>
              <w:t>0</w:t>
            </w:r>
            <w:r>
              <w:rPr>
                <w:rFonts w:hint="eastAsia" w:ascii="仿宋" w:hAnsi="仿宋" w:eastAsia="仿宋"/>
                <w:szCs w:val="21"/>
              </w:rPr>
              <w:t>岁以上人群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常用神经认知测评</w:t>
            </w:r>
          </w:p>
        </w:tc>
        <w:tc>
          <w:tcPr>
            <w:tcW w:w="2977" w:type="dxa"/>
            <w:vAlign w:val="center"/>
          </w:tcPr>
          <w:p>
            <w:pPr>
              <w:spacing w:after="120"/>
              <w:rPr>
                <w:rFonts w:ascii="仿宋" w:hAnsi="仿宋" w:eastAsia="仿宋"/>
                <w:szCs w:val="21"/>
              </w:rPr>
            </w:pPr>
            <w:r>
              <w:rPr>
                <w:rFonts w:hint="eastAsia" w:ascii="仿宋" w:hAnsi="仿宋" w:eastAsia="仿宋"/>
                <w:szCs w:val="21"/>
              </w:rPr>
              <w:t>根据临床需求选择常用认知量表如A</w:t>
            </w:r>
            <w:r>
              <w:rPr>
                <w:rFonts w:ascii="仿宋" w:hAnsi="仿宋" w:eastAsia="仿宋"/>
                <w:szCs w:val="21"/>
              </w:rPr>
              <w:t>VLT</w:t>
            </w:r>
            <w:r>
              <w:rPr>
                <w:rFonts w:hint="eastAsia" w:ascii="仿宋" w:hAnsi="仿宋" w:eastAsia="仿宋"/>
                <w:szCs w:val="21"/>
              </w:rPr>
              <w:t>、H</w:t>
            </w:r>
            <w:r>
              <w:rPr>
                <w:rFonts w:ascii="仿宋" w:hAnsi="仿宋" w:eastAsia="仿宋"/>
                <w:szCs w:val="21"/>
              </w:rPr>
              <w:t>IS</w:t>
            </w:r>
            <w:r>
              <w:rPr>
                <w:rFonts w:hint="eastAsia" w:ascii="仿宋" w:hAnsi="仿宋" w:eastAsia="仿宋"/>
                <w:szCs w:val="21"/>
              </w:rPr>
              <w:t>、Stroop、B</w:t>
            </w:r>
            <w:r>
              <w:rPr>
                <w:rFonts w:ascii="仿宋" w:hAnsi="仿宋" w:eastAsia="仿宋"/>
                <w:szCs w:val="21"/>
              </w:rPr>
              <w:t>NT</w:t>
            </w:r>
            <w:r>
              <w:rPr>
                <w:rFonts w:hint="eastAsia" w:ascii="仿宋" w:hAnsi="仿宋" w:eastAsia="仿宋"/>
                <w:szCs w:val="21"/>
              </w:rPr>
              <w:t>等总计近4</w:t>
            </w:r>
            <w:r>
              <w:rPr>
                <w:rFonts w:ascii="仿宋" w:hAnsi="仿宋" w:eastAsia="仿宋"/>
                <w:szCs w:val="21"/>
              </w:rPr>
              <w:t>0</w:t>
            </w:r>
            <w:r>
              <w:rPr>
                <w:rFonts w:hint="eastAsia" w:ascii="仿宋" w:hAnsi="仿宋" w:eastAsia="仿宋"/>
                <w:szCs w:val="21"/>
              </w:rPr>
              <w:t>余个量表评定。</w:t>
            </w:r>
          </w:p>
        </w:tc>
        <w:tc>
          <w:tcPr>
            <w:tcW w:w="2693" w:type="dxa"/>
            <w:vAlign w:val="center"/>
          </w:tcPr>
          <w:p>
            <w:pPr>
              <w:spacing w:after="120"/>
              <w:rPr>
                <w:rFonts w:ascii="仿宋" w:hAnsi="仿宋" w:eastAsia="仿宋"/>
                <w:szCs w:val="21"/>
              </w:rPr>
            </w:pPr>
            <w:r>
              <w:rPr>
                <w:rFonts w:hint="eastAsia" w:ascii="仿宋" w:hAnsi="仿宋" w:eastAsia="仿宋"/>
                <w:szCs w:val="21"/>
              </w:rPr>
              <w:t>可进行轻度认知障碍及痴呆辅助诊断。</w:t>
            </w:r>
          </w:p>
        </w:tc>
        <w:tc>
          <w:tcPr>
            <w:tcW w:w="1565" w:type="dxa"/>
            <w:vAlign w:val="center"/>
          </w:tcPr>
          <w:p>
            <w:pPr>
              <w:spacing w:after="120"/>
              <w:rPr>
                <w:rFonts w:ascii="仿宋" w:hAnsi="仿宋" w:eastAsia="仿宋"/>
                <w:szCs w:val="21"/>
              </w:rPr>
            </w:pPr>
            <w:r>
              <w:rPr>
                <w:rFonts w:hint="eastAsia" w:ascii="仿宋" w:hAnsi="仿宋" w:eastAsia="仿宋"/>
                <w:szCs w:val="21"/>
              </w:rPr>
              <w:t>4</w:t>
            </w:r>
            <w:r>
              <w:rPr>
                <w:rFonts w:ascii="仿宋" w:hAnsi="仿宋" w:eastAsia="仿宋"/>
                <w:szCs w:val="21"/>
              </w:rPr>
              <w:t>0</w:t>
            </w:r>
            <w:r>
              <w:rPr>
                <w:rFonts w:hint="eastAsia" w:ascii="仿宋" w:hAnsi="仿宋" w:eastAsia="仿宋"/>
                <w:szCs w:val="21"/>
              </w:rPr>
              <w:t>岁以上人群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精神情绪及其它测评</w:t>
            </w:r>
          </w:p>
        </w:tc>
        <w:tc>
          <w:tcPr>
            <w:tcW w:w="2977" w:type="dxa"/>
            <w:vAlign w:val="center"/>
          </w:tcPr>
          <w:p>
            <w:pPr>
              <w:spacing w:after="120"/>
              <w:rPr>
                <w:rFonts w:ascii="仿宋" w:hAnsi="仿宋" w:eastAsia="仿宋"/>
                <w:szCs w:val="21"/>
              </w:rPr>
            </w:pPr>
            <w:r>
              <w:rPr>
                <w:rFonts w:hint="eastAsia" w:ascii="仿宋" w:hAnsi="仿宋" w:eastAsia="仿宋"/>
                <w:szCs w:val="21"/>
              </w:rPr>
              <w:t>可选择进行情绪感知、抑郁、焦虑等进行测评，另可进行生活功能、中医证候及临床综合评估。</w:t>
            </w:r>
          </w:p>
        </w:tc>
        <w:tc>
          <w:tcPr>
            <w:tcW w:w="2693" w:type="dxa"/>
            <w:vAlign w:val="center"/>
          </w:tcPr>
          <w:p>
            <w:pPr>
              <w:spacing w:after="120"/>
              <w:rPr>
                <w:rFonts w:ascii="仿宋" w:hAnsi="仿宋" w:eastAsia="仿宋"/>
                <w:szCs w:val="21"/>
              </w:rPr>
            </w:pPr>
            <w:r>
              <w:rPr>
                <w:rFonts w:hint="eastAsia" w:ascii="仿宋" w:hAnsi="仿宋" w:eastAsia="仿宋"/>
                <w:szCs w:val="21"/>
              </w:rPr>
              <w:t>进行精神情绪状态、生活能力、中医体质等判定，辅助于认知疾病诊断。</w:t>
            </w:r>
          </w:p>
        </w:tc>
        <w:tc>
          <w:tcPr>
            <w:tcW w:w="1565" w:type="dxa"/>
            <w:vAlign w:val="center"/>
          </w:tcPr>
          <w:p>
            <w:pPr>
              <w:spacing w:after="120"/>
              <w:rPr>
                <w:rFonts w:ascii="仿宋" w:hAnsi="仿宋" w:eastAsia="仿宋"/>
                <w:szCs w:val="21"/>
              </w:rPr>
            </w:pPr>
            <w:r>
              <w:rPr>
                <w:rFonts w:hint="eastAsia" w:ascii="仿宋" w:hAnsi="仿宋" w:eastAsia="仿宋"/>
                <w:szCs w:val="21"/>
              </w:rPr>
              <w:t>全年龄段人群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spacing w:after="120"/>
              <w:jc w:val="center"/>
              <w:rPr>
                <w:rFonts w:ascii="仿宋" w:hAnsi="仿宋" w:eastAsia="仿宋"/>
                <w:b/>
                <w:bCs/>
                <w:szCs w:val="21"/>
              </w:rPr>
            </w:pPr>
            <w:r>
              <w:rPr>
                <w:rFonts w:hint="eastAsia" w:ascii="仿宋" w:hAnsi="仿宋" w:eastAsia="仿宋"/>
                <w:b/>
                <w:bCs/>
                <w:szCs w:val="21"/>
              </w:rPr>
              <w:t>自定义工具集测评</w:t>
            </w:r>
          </w:p>
        </w:tc>
        <w:tc>
          <w:tcPr>
            <w:tcW w:w="2977" w:type="dxa"/>
            <w:vAlign w:val="center"/>
          </w:tcPr>
          <w:p>
            <w:pPr>
              <w:spacing w:after="120"/>
              <w:rPr>
                <w:rFonts w:ascii="仿宋" w:hAnsi="仿宋" w:eastAsia="仿宋"/>
                <w:szCs w:val="21"/>
              </w:rPr>
            </w:pPr>
            <w:r>
              <w:rPr>
                <w:rFonts w:hint="eastAsia" w:ascii="仿宋" w:hAnsi="仿宋" w:eastAsia="仿宋"/>
                <w:szCs w:val="21"/>
              </w:rPr>
              <w:t>针对临床及科研需求，进行量表组合形成固定常用量表工具集。</w:t>
            </w:r>
          </w:p>
        </w:tc>
        <w:tc>
          <w:tcPr>
            <w:tcW w:w="2693" w:type="dxa"/>
            <w:vAlign w:val="center"/>
          </w:tcPr>
          <w:p>
            <w:pPr>
              <w:spacing w:after="120"/>
              <w:rPr>
                <w:rFonts w:ascii="仿宋" w:hAnsi="仿宋" w:eastAsia="仿宋"/>
                <w:szCs w:val="21"/>
              </w:rPr>
            </w:pPr>
            <w:r>
              <w:rPr>
                <w:rFonts w:hint="eastAsia" w:ascii="仿宋" w:hAnsi="仿宋" w:eastAsia="仿宋"/>
                <w:szCs w:val="21"/>
              </w:rPr>
              <w:t>认知疾病辅助诊断及标准化科研数据整理。</w:t>
            </w:r>
          </w:p>
        </w:tc>
        <w:tc>
          <w:tcPr>
            <w:tcW w:w="1565" w:type="dxa"/>
            <w:vAlign w:val="center"/>
          </w:tcPr>
          <w:p>
            <w:pPr>
              <w:spacing w:after="120"/>
              <w:rPr>
                <w:rFonts w:ascii="仿宋" w:hAnsi="仿宋" w:eastAsia="仿宋"/>
                <w:szCs w:val="21"/>
              </w:rPr>
            </w:pPr>
            <w:r>
              <w:rPr>
                <w:rFonts w:hint="eastAsia" w:ascii="仿宋" w:hAnsi="仿宋" w:eastAsia="仿宋"/>
                <w:szCs w:val="21"/>
              </w:rPr>
              <w:t>全年龄段人群</w:t>
            </w:r>
          </w:p>
        </w:tc>
      </w:tr>
    </w:tbl>
    <w:p>
      <w:pPr>
        <w:pStyle w:val="5"/>
      </w:pPr>
      <w:r>
        <w:rPr>
          <w:bCs/>
        </w:rPr>
        <w:t>4.2</w:t>
      </w:r>
      <w:r>
        <w:rPr>
          <w:rFonts w:hint="eastAsia"/>
        </w:rPr>
        <w:t>认知功能康复训练管理系统</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认知功能康复训练管理系统（认知功能康复训练管理医生工作站、认知功能康复训练应用设备、认知功能康复训练移动终端（上谷健康））组成，该系统基于大脑认知老化发展规律研究成果和中国人群认知数据常模，围绕记忆力、注意力、执行功能、语言等高级认知功能，结合常见的抑郁、焦虑、睡眠等问题，智能评估各项高级认知功能，并有效辨识主观认知障碍、轻度认知障碍、老年性痴呆等的患病风险，为训练者提供针对性的康复训练方案。</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包括硬件和软件两部分，认知功能康复训练管理医生工作站PC机一台，认知功能康复训练应用端安卓触控屏一体机设备两台。另可推送方案到微信公众号，让患者居家训练。配置认知功能康复训练与评估软件，组成完成符合多场景使用需求的完整设备。</w:t>
      </w:r>
      <w:r>
        <w:rPr>
          <w:rFonts w:ascii="仿宋_GB2312" w:hAnsi="仿宋_GB2312" w:eastAsia="仿宋_GB2312" w:cs="仿宋_GB2312"/>
          <w:color w:val="000000"/>
          <w:sz w:val="28"/>
          <w:szCs w:val="28"/>
        </w:rPr>
        <w:t>具体包括</w:t>
      </w:r>
      <w:r>
        <w:rPr>
          <w:rFonts w:hint="eastAsia" w:ascii="仿宋_GB2312" w:hAnsi="仿宋_GB2312" w:eastAsia="仿宋_GB2312" w:cs="仿宋_GB2312"/>
          <w:color w:val="000000"/>
          <w:sz w:val="28"/>
          <w:szCs w:val="28"/>
        </w:rPr>
        <w:t>一下训练方案</w:t>
      </w:r>
      <w:r>
        <w:rPr>
          <w:rFonts w:ascii="仿宋_GB2312" w:hAnsi="仿宋_GB2312" w:eastAsia="仿宋_GB2312" w:cs="仿宋_GB2312"/>
          <w:color w:val="000000"/>
          <w:sz w:val="28"/>
          <w:szCs w:val="28"/>
        </w:rPr>
        <w:t>：</w:t>
      </w:r>
    </w:p>
    <w:tbl>
      <w:tblPr>
        <w:tblStyle w:val="23"/>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842"/>
        <w:gridCol w:w="4111"/>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pPr>
              <w:widowControl/>
              <w:spacing w:line="300" w:lineRule="auto"/>
              <w:jc w:val="center"/>
              <w:rPr>
                <w:rFonts w:ascii="仿宋" w:hAnsi="仿宋" w:eastAsia="仿宋"/>
                <w:b/>
                <w:bCs/>
                <w:szCs w:val="21"/>
              </w:rPr>
            </w:pPr>
            <w:r>
              <w:rPr>
                <w:rFonts w:ascii="仿宋" w:hAnsi="仿宋" w:eastAsia="仿宋"/>
                <w:b/>
                <w:bCs/>
                <w:szCs w:val="21"/>
              </w:rPr>
              <w:t>方案类型</w:t>
            </w:r>
          </w:p>
        </w:tc>
        <w:tc>
          <w:tcPr>
            <w:tcW w:w="1842" w:type="dxa"/>
            <w:vAlign w:val="center"/>
          </w:tcPr>
          <w:p>
            <w:pPr>
              <w:widowControl/>
              <w:spacing w:line="300" w:lineRule="auto"/>
              <w:jc w:val="center"/>
              <w:rPr>
                <w:rFonts w:ascii="仿宋" w:hAnsi="仿宋" w:eastAsia="仿宋"/>
                <w:b/>
                <w:bCs/>
                <w:szCs w:val="21"/>
              </w:rPr>
            </w:pPr>
            <w:r>
              <w:rPr>
                <w:rFonts w:ascii="仿宋" w:hAnsi="仿宋" w:eastAsia="仿宋"/>
                <w:b/>
                <w:bCs/>
                <w:szCs w:val="21"/>
              </w:rPr>
              <w:t>方案名称</w:t>
            </w:r>
          </w:p>
        </w:tc>
        <w:tc>
          <w:tcPr>
            <w:tcW w:w="4111" w:type="dxa"/>
            <w:vAlign w:val="center"/>
          </w:tcPr>
          <w:p>
            <w:pPr>
              <w:widowControl/>
              <w:spacing w:line="300" w:lineRule="auto"/>
              <w:jc w:val="center"/>
              <w:rPr>
                <w:rFonts w:ascii="仿宋" w:hAnsi="仿宋" w:eastAsia="仿宋"/>
                <w:b/>
                <w:bCs/>
                <w:szCs w:val="21"/>
              </w:rPr>
            </w:pPr>
            <w:r>
              <w:rPr>
                <w:rFonts w:ascii="仿宋" w:hAnsi="仿宋" w:eastAsia="仿宋"/>
                <w:b/>
                <w:bCs/>
                <w:szCs w:val="21"/>
              </w:rPr>
              <w:t>康复目标</w:t>
            </w:r>
          </w:p>
        </w:tc>
        <w:tc>
          <w:tcPr>
            <w:tcW w:w="1849" w:type="dxa"/>
            <w:vAlign w:val="center"/>
          </w:tcPr>
          <w:p>
            <w:pPr>
              <w:widowControl/>
              <w:spacing w:line="300" w:lineRule="auto"/>
              <w:jc w:val="center"/>
              <w:rPr>
                <w:rFonts w:ascii="仿宋" w:hAnsi="仿宋" w:eastAsia="仿宋"/>
                <w:b/>
                <w:bCs/>
                <w:szCs w:val="21"/>
              </w:rPr>
            </w:pPr>
            <w:r>
              <w:rPr>
                <w:rFonts w:ascii="仿宋" w:hAnsi="仿宋" w:eastAsia="仿宋"/>
                <w:b/>
                <w:bCs/>
                <w:szCs w:val="21"/>
              </w:rPr>
              <w:t>适用人群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widowControl/>
              <w:spacing w:line="300" w:lineRule="auto"/>
              <w:jc w:val="center"/>
              <w:rPr>
                <w:rFonts w:ascii="仿宋" w:hAnsi="仿宋" w:eastAsia="仿宋"/>
                <w:b/>
                <w:bCs/>
                <w:szCs w:val="21"/>
              </w:rPr>
            </w:pPr>
            <w:r>
              <w:rPr>
                <w:rFonts w:ascii="仿宋" w:hAnsi="仿宋" w:eastAsia="仿宋"/>
                <w:b/>
                <w:bCs/>
                <w:szCs w:val="21"/>
              </w:rPr>
              <w:t>认知康复</w:t>
            </w:r>
          </w:p>
        </w:tc>
        <w:tc>
          <w:tcPr>
            <w:tcW w:w="1842" w:type="dxa"/>
            <w:vAlign w:val="center"/>
          </w:tcPr>
          <w:p>
            <w:pPr>
              <w:spacing w:after="120"/>
              <w:rPr>
                <w:rFonts w:ascii="仿宋" w:hAnsi="仿宋" w:eastAsia="仿宋"/>
                <w:szCs w:val="21"/>
              </w:rPr>
            </w:pPr>
            <w:r>
              <w:rPr>
                <w:rFonts w:ascii="仿宋" w:hAnsi="仿宋" w:eastAsia="仿宋"/>
                <w:szCs w:val="21"/>
              </w:rPr>
              <w:t>增强记忆方案</w:t>
            </w:r>
          </w:p>
        </w:tc>
        <w:tc>
          <w:tcPr>
            <w:tcW w:w="4111" w:type="dxa"/>
            <w:vAlign w:val="center"/>
          </w:tcPr>
          <w:p>
            <w:pPr>
              <w:spacing w:after="120"/>
              <w:rPr>
                <w:rFonts w:ascii="仿宋" w:hAnsi="仿宋" w:eastAsia="仿宋"/>
                <w:szCs w:val="21"/>
              </w:rPr>
            </w:pPr>
            <w:r>
              <w:rPr>
                <w:rFonts w:ascii="仿宋" w:hAnsi="仿宋" w:eastAsia="仿宋"/>
                <w:szCs w:val="21"/>
              </w:rPr>
              <w:t>促进海马内嗅皮层环路活性，改善记忆力</w:t>
            </w:r>
          </w:p>
        </w:tc>
        <w:tc>
          <w:tcPr>
            <w:tcW w:w="1849" w:type="dxa"/>
            <w:vAlign w:val="center"/>
          </w:tcPr>
          <w:p>
            <w:pPr>
              <w:spacing w:after="120"/>
              <w:rPr>
                <w:rFonts w:ascii="仿宋" w:hAnsi="仿宋" w:eastAsia="仿宋"/>
                <w:szCs w:val="21"/>
              </w:rPr>
            </w:pPr>
            <w:r>
              <w:rPr>
                <w:rFonts w:ascii="仿宋" w:hAnsi="仿宋" w:eastAsia="仿宋"/>
                <w:szCs w:val="21"/>
              </w:rPr>
              <w:t>主诉记忆下降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vAlign w:val="center"/>
          </w:tcPr>
          <w:p>
            <w:pPr>
              <w:widowControl/>
              <w:spacing w:line="300" w:lineRule="auto"/>
              <w:jc w:val="center"/>
              <w:rPr>
                <w:rFonts w:ascii="仿宋" w:hAnsi="仿宋" w:eastAsia="仿宋"/>
                <w:b/>
                <w:bCs/>
                <w:szCs w:val="21"/>
              </w:rPr>
            </w:pPr>
          </w:p>
        </w:tc>
        <w:tc>
          <w:tcPr>
            <w:tcW w:w="1842" w:type="dxa"/>
            <w:vAlign w:val="center"/>
          </w:tcPr>
          <w:p>
            <w:pPr>
              <w:spacing w:after="120"/>
              <w:rPr>
                <w:rFonts w:ascii="仿宋" w:hAnsi="仿宋" w:eastAsia="仿宋"/>
                <w:szCs w:val="21"/>
              </w:rPr>
            </w:pPr>
            <w:r>
              <w:rPr>
                <w:rFonts w:ascii="仿宋" w:hAnsi="仿宋" w:eastAsia="仿宋"/>
                <w:szCs w:val="21"/>
              </w:rPr>
              <w:t>抗脑萎缩方案</w:t>
            </w:r>
          </w:p>
        </w:tc>
        <w:tc>
          <w:tcPr>
            <w:tcW w:w="4111" w:type="dxa"/>
            <w:vAlign w:val="center"/>
          </w:tcPr>
          <w:p>
            <w:pPr>
              <w:spacing w:after="120"/>
              <w:rPr>
                <w:rFonts w:ascii="仿宋" w:hAnsi="仿宋" w:eastAsia="仿宋"/>
                <w:szCs w:val="21"/>
              </w:rPr>
            </w:pPr>
            <w:r>
              <w:rPr>
                <w:rFonts w:ascii="仿宋" w:hAnsi="仿宋" w:eastAsia="仿宋"/>
                <w:szCs w:val="21"/>
              </w:rPr>
              <w:t>激活额顶网络功能连接，预防大脑萎缩</w:t>
            </w:r>
          </w:p>
        </w:tc>
        <w:tc>
          <w:tcPr>
            <w:tcW w:w="1849" w:type="dxa"/>
            <w:vAlign w:val="center"/>
          </w:tcPr>
          <w:p>
            <w:pPr>
              <w:spacing w:after="120"/>
              <w:rPr>
                <w:rFonts w:ascii="仿宋" w:hAnsi="仿宋" w:eastAsia="仿宋"/>
                <w:szCs w:val="21"/>
              </w:rPr>
            </w:pPr>
            <w:r>
              <w:rPr>
                <w:rFonts w:ascii="仿宋" w:hAnsi="仿宋" w:eastAsia="仿宋"/>
                <w:szCs w:val="21"/>
              </w:rPr>
              <w:t>轻度认识障碍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vAlign w:val="center"/>
          </w:tcPr>
          <w:p>
            <w:pPr>
              <w:widowControl/>
              <w:spacing w:line="300" w:lineRule="auto"/>
              <w:jc w:val="center"/>
              <w:rPr>
                <w:rFonts w:ascii="仿宋" w:hAnsi="仿宋" w:eastAsia="仿宋"/>
                <w:b/>
                <w:bCs/>
                <w:szCs w:val="21"/>
              </w:rPr>
            </w:pPr>
          </w:p>
        </w:tc>
        <w:tc>
          <w:tcPr>
            <w:tcW w:w="1842" w:type="dxa"/>
            <w:vAlign w:val="center"/>
          </w:tcPr>
          <w:p>
            <w:pPr>
              <w:spacing w:after="120"/>
              <w:rPr>
                <w:rFonts w:ascii="仿宋" w:hAnsi="仿宋" w:eastAsia="仿宋"/>
                <w:szCs w:val="21"/>
              </w:rPr>
            </w:pPr>
            <w:r>
              <w:rPr>
                <w:rFonts w:ascii="仿宋" w:hAnsi="仿宋" w:eastAsia="仿宋"/>
                <w:szCs w:val="21"/>
              </w:rPr>
              <w:t>防止痴呆方案</w:t>
            </w:r>
          </w:p>
        </w:tc>
        <w:tc>
          <w:tcPr>
            <w:tcW w:w="4111" w:type="dxa"/>
            <w:vAlign w:val="center"/>
          </w:tcPr>
          <w:p>
            <w:pPr>
              <w:spacing w:after="120"/>
              <w:rPr>
                <w:rFonts w:ascii="仿宋" w:hAnsi="仿宋" w:eastAsia="仿宋"/>
                <w:szCs w:val="21"/>
              </w:rPr>
            </w:pPr>
            <w:r>
              <w:rPr>
                <w:rFonts w:ascii="仿宋" w:hAnsi="仿宋" w:eastAsia="仿宋"/>
                <w:szCs w:val="21"/>
              </w:rPr>
              <w:t>修复受损的海马回路，延缓病情进展</w:t>
            </w:r>
          </w:p>
        </w:tc>
        <w:tc>
          <w:tcPr>
            <w:tcW w:w="1849" w:type="dxa"/>
            <w:vAlign w:val="center"/>
          </w:tcPr>
          <w:p>
            <w:pPr>
              <w:spacing w:after="120"/>
              <w:rPr>
                <w:rFonts w:ascii="仿宋" w:hAnsi="仿宋" w:eastAsia="仿宋"/>
                <w:szCs w:val="21"/>
              </w:rPr>
            </w:pPr>
            <w:r>
              <w:rPr>
                <w:rFonts w:ascii="仿宋" w:hAnsi="仿宋" w:eastAsia="仿宋"/>
                <w:szCs w:val="21"/>
              </w:rPr>
              <w:t>轻度痴呆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restart"/>
            <w:vAlign w:val="center"/>
          </w:tcPr>
          <w:p>
            <w:pPr>
              <w:widowControl/>
              <w:spacing w:line="300" w:lineRule="auto"/>
              <w:jc w:val="center"/>
              <w:rPr>
                <w:rFonts w:ascii="仿宋" w:hAnsi="仿宋" w:eastAsia="仿宋"/>
                <w:b/>
                <w:bCs/>
                <w:szCs w:val="21"/>
              </w:rPr>
            </w:pPr>
            <w:r>
              <w:rPr>
                <w:rFonts w:ascii="仿宋" w:hAnsi="仿宋" w:eastAsia="仿宋"/>
                <w:b/>
                <w:bCs/>
                <w:szCs w:val="21"/>
              </w:rPr>
              <w:t>情绪调节</w:t>
            </w:r>
          </w:p>
        </w:tc>
        <w:tc>
          <w:tcPr>
            <w:tcW w:w="1842" w:type="dxa"/>
            <w:vAlign w:val="center"/>
          </w:tcPr>
          <w:p>
            <w:pPr>
              <w:spacing w:after="120"/>
              <w:rPr>
                <w:rFonts w:ascii="仿宋" w:hAnsi="仿宋" w:eastAsia="仿宋"/>
                <w:szCs w:val="21"/>
              </w:rPr>
            </w:pPr>
            <w:r>
              <w:rPr>
                <w:rFonts w:ascii="仿宋" w:hAnsi="仿宋" w:eastAsia="仿宋"/>
                <w:szCs w:val="21"/>
              </w:rPr>
              <w:t>改善睡眠方案</w:t>
            </w:r>
          </w:p>
        </w:tc>
        <w:tc>
          <w:tcPr>
            <w:tcW w:w="4111" w:type="dxa"/>
            <w:vAlign w:val="center"/>
          </w:tcPr>
          <w:p>
            <w:pPr>
              <w:spacing w:after="120"/>
              <w:rPr>
                <w:rFonts w:ascii="仿宋" w:hAnsi="仿宋" w:eastAsia="仿宋"/>
                <w:szCs w:val="21"/>
              </w:rPr>
            </w:pPr>
            <w:r>
              <w:rPr>
                <w:rFonts w:ascii="仿宋" w:hAnsi="仿宋" w:eastAsia="仿宋"/>
                <w:szCs w:val="21"/>
              </w:rPr>
              <w:t>刺激调控睡眠的脑神经环路，提高睡眠质量</w:t>
            </w:r>
          </w:p>
        </w:tc>
        <w:tc>
          <w:tcPr>
            <w:tcW w:w="1849" w:type="dxa"/>
            <w:vAlign w:val="center"/>
          </w:tcPr>
          <w:p>
            <w:pPr>
              <w:spacing w:after="120"/>
              <w:rPr>
                <w:rFonts w:ascii="仿宋" w:hAnsi="仿宋" w:eastAsia="仿宋"/>
                <w:szCs w:val="21"/>
              </w:rPr>
            </w:pPr>
            <w:r>
              <w:rPr>
                <w:rFonts w:ascii="仿宋" w:hAnsi="仿宋" w:eastAsia="仿宋"/>
                <w:szCs w:val="21"/>
              </w:rPr>
              <w:t>睡眠障碍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Merge w:val="continue"/>
            <w:vAlign w:val="center"/>
          </w:tcPr>
          <w:p>
            <w:pPr>
              <w:widowControl/>
              <w:spacing w:line="300" w:lineRule="auto"/>
              <w:rPr>
                <w:szCs w:val="24"/>
              </w:rPr>
            </w:pPr>
          </w:p>
        </w:tc>
        <w:tc>
          <w:tcPr>
            <w:tcW w:w="1842" w:type="dxa"/>
            <w:vAlign w:val="center"/>
          </w:tcPr>
          <w:p>
            <w:pPr>
              <w:spacing w:after="120"/>
              <w:rPr>
                <w:rFonts w:ascii="仿宋" w:hAnsi="仿宋" w:eastAsia="仿宋"/>
                <w:szCs w:val="21"/>
              </w:rPr>
            </w:pPr>
            <w:r>
              <w:rPr>
                <w:rFonts w:ascii="仿宋" w:hAnsi="仿宋" w:eastAsia="仿宋"/>
                <w:szCs w:val="21"/>
              </w:rPr>
              <w:t>舒缓焦虑方案</w:t>
            </w:r>
          </w:p>
        </w:tc>
        <w:tc>
          <w:tcPr>
            <w:tcW w:w="4111" w:type="dxa"/>
            <w:vAlign w:val="center"/>
          </w:tcPr>
          <w:p>
            <w:pPr>
              <w:spacing w:after="120"/>
              <w:rPr>
                <w:rFonts w:ascii="仿宋" w:hAnsi="仿宋" w:eastAsia="仿宋"/>
                <w:szCs w:val="21"/>
              </w:rPr>
            </w:pPr>
            <w:r>
              <w:rPr>
                <w:rFonts w:ascii="仿宋" w:hAnsi="仿宋" w:eastAsia="仿宋"/>
                <w:szCs w:val="21"/>
              </w:rPr>
              <w:t>提升内侧前额叶皮层调控力，缓解焦虑情绪</w:t>
            </w:r>
          </w:p>
        </w:tc>
        <w:tc>
          <w:tcPr>
            <w:tcW w:w="1849" w:type="dxa"/>
            <w:vAlign w:val="center"/>
          </w:tcPr>
          <w:p>
            <w:pPr>
              <w:spacing w:after="120"/>
              <w:rPr>
                <w:rFonts w:ascii="仿宋" w:hAnsi="仿宋" w:eastAsia="仿宋"/>
                <w:szCs w:val="21"/>
              </w:rPr>
            </w:pPr>
            <w:r>
              <w:rPr>
                <w:rFonts w:ascii="仿宋" w:hAnsi="仿宋" w:eastAsia="仿宋"/>
                <w:szCs w:val="21"/>
              </w:rPr>
              <w:t>焦虑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555" w:type="dxa"/>
            <w:vMerge w:val="continue"/>
            <w:vAlign w:val="center"/>
          </w:tcPr>
          <w:p>
            <w:pPr>
              <w:widowControl/>
              <w:spacing w:line="300" w:lineRule="auto"/>
              <w:rPr>
                <w:szCs w:val="24"/>
              </w:rPr>
            </w:pPr>
          </w:p>
        </w:tc>
        <w:tc>
          <w:tcPr>
            <w:tcW w:w="1842" w:type="dxa"/>
            <w:vAlign w:val="center"/>
          </w:tcPr>
          <w:p>
            <w:pPr>
              <w:spacing w:after="120"/>
              <w:rPr>
                <w:rFonts w:ascii="仿宋" w:hAnsi="仿宋" w:eastAsia="仿宋"/>
                <w:szCs w:val="21"/>
              </w:rPr>
            </w:pPr>
            <w:r>
              <w:rPr>
                <w:rFonts w:ascii="仿宋" w:hAnsi="仿宋" w:eastAsia="仿宋"/>
                <w:szCs w:val="21"/>
              </w:rPr>
              <w:t>调节抑郁方案</w:t>
            </w:r>
          </w:p>
        </w:tc>
        <w:tc>
          <w:tcPr>
            <w:tcW w:w="4111" w:type="dxa"/>
            <w:vAlign w:val="center"/>
          </w:tcPr>
          <w:p>
            <w:pPr>
              <w:spacing w:after="120"/>
              <w:rPr>
                <w:rFonts w:ascii="仿宋" w:hAnsi="仿宋" w:eastAsia="仿宋"/>
                <w:szCs w:val="21"/>
              </w:rPr>
            </w:pPr>
            <w:r>
              <w:rPr>
                <w:rFonts w:ascii="仿宋" w:hAnsi="仿宋" w:eastAsia="仿宋"/>
                <w:szCs w:val="21"/>
              </w:rPr>
              <w:t>提高边缘系统调节能力，改善抑郁症状</w:t>
            </w:r>
          </w:p>
        </w:tc>
        <w:tc>
          <w:tcPr>
            <w:tcW w:w="1849" w:type="dxa"/>
            <w:vAlign w:val="center"/>
          </w:tcPr>
          <w:p>
            <w:pPr>
              <w:spacing w:after="120"/>
              <w:rPr>
                <w:rFonts w:ascii="仿宋" w:hAnsi="仿宋" w:eastAsia="仿宋"/>
                <w:szCs w:val="21"/>
              </w:rPr>
            </w:pPr>
            <w:r>
              <w:rPr>
                <w:rFonts w:ascii="仿宋" w:hAnsi="仿宋" w:eastAsia="仿宋"/>
                <w:szCs w:val="21"/>
              </w:rPr>
              <w:t>抑郁</w:t>
            </w:r>
          </w:p>
        </w:tc>
      </w:tr>
    </w:tbl>
    <w:p>
      <w:pPr>
        <w:pStyle w:val="48"/>
        <w:snapToGrid w:val="0"/>
        <w:spacing w:line="500" w:lineRule="exact"/>
        <w:ind w:firstLine="0" w:firstLineChars="0"/>
        <w:rPr>
          <w:rStyle w:val="47"/>
          <w:rFonts w:ascii="仿宋" w:hAnsi="仿宋" w:eastAsia="仿宋" w:cs="宋体"/>
          <w:b/>
          <w:bCs/>
          <w:sz w:val="28"/>
          <w:szCs w:val="28"/>
          <w:lang w:val="en-US"/>
        </w:rPr>
      </w:pPr>
      <w:r>
        <w:rPr>
          <w:rStyle w:val="47"/>
          <w:rFonts w:ascii="仿宋" w:hAnsi="仿宋" w:eastAsia="仿宋" w:cs="宋体"/>
          <w:b/>
          <w:bCs/>
          <w:sz w:val="28"/>
          <w:szCs w:val="28"/>
          <w:lang w:val="en-US"/>
        </w:rPr>
        <w:t>4.2.1</w:t>
      </w:r>
      <w:r>
        <w:rPr>
          <w:rStyle w:val="47"/>
          <w:rFonts w:hint="eastAsia" w:ascii="仿宋" w:hAnsi="仿宋" w:eastAsia="仿宋" w:cs="宋体"/>
          <w:b/>
          <w:bCs/>
          <w:sz w:val="28"/>
          <w:szCs w:val="28"/>
          <w:lang w:val="en-US"/>
        </w:rPr>
        <w:t>软件内容</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1）方案介绍：对训练康复方案内容进行详细介绍，帮助医生了解方案内容。</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2）患者管理：可新增、修改患者信息。可查看患者的个人信息、患者方案记录、测评记录以及训练记录等。可根据患者的训练情况提醒患者训练。</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3）方案分配：根据患者测评结果，分配个性化康复训练方案</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4）数据导出：患者数据可以实时在线观察并同时存储为用于分析的数据文件，医生可在线导出患者数据。</w:t>
      </w: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5）医患关系：患者可扫描系统医生的二维码与医生进行关联。</w:t>
      </w:r>
    </w:p>
    <w:p>
      <w:pPr>
        <w:pStyle w:val="5"/>
      </w:pPr>
      <w:r>
        <w:t>4.3</w:t>
      </w:r>
      <w:r>
        <w:rPr>
          <w:rFonts w:hint="eastAsia"/>
        </w:rPr>
        <w:t>软件要求如下：</w:t>
      </w:r>
    </w:p>
    <w:p>
      <w:pPr>
        <w:pStyle w:val="41"/>
        <w:numPr>
          <w:ilvl w:val="0"/>
          <w:numId w:val="3"/>
        </w:numPr>
        <w:spacing w:line="360" w:lineRule="auto"/>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系统需具有国家二类医疗器械证；</w:t>
      </w:r>
    </w:p>
    <w:p>
      <w:pPr>
        <w:pStyle w:val="41"/>
        <w:numPr>
          <w:ilvl w:val="0"/>
          <w:numId w:val="3"/>
        </w:numPr>
        <w:spacing w:line="360" w:lineRule="auto"/>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系统能够满足记忆门诊神经心理评估与认知训练功能；</w:t>
      </w:r>
    </w:p>
    <w:p>
      <w:pPr>
        <w:pStyle w:val="41"/>
        <w:numPr>
          <w:ilvl w:val="0"/>
          <w:numId w:val="3"/>
        </w:numPr>
        <w:spacing w:line="360" w:lineRule="auto"/>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系统可进行记忆门诊、痴呆风险筛查、高级认知评估、临床精神心理测评，全套认知障碍评估，其中临床精神心理测评包括含神经心理多维度近80余项测验；可自由组合进行测评；适合进行针对性评估和科学研究；适合临床辅助诊断。</w:t>
      </w:r>
    </w:p>
    <w:p>
      <w:pPr>
        <w:pStyle w:val="41"/>
        <w:numPr>
          <w:ilvl w:val="0"/>
          <w:numId w:val="3"/>
        </w:numPr>
        <w:spacing w:line="360" w:lineRule="auto"/>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认知康复训练方案应对不同疾病人群设置针对性的方案：针对记忆下降人群、轻度认知障碍患者、痴呆患者睡眠障碍人群、抑郁焦虑人群提供针对性的脑健康康复方案。</w:t>
      </w:r>
    </w:p>
    <w:p>
      <w:pPr>
        <w:pStyle w:val="41"/>
        <w:numPr>
          <w:ilvl w:val="0"/>
          <w:numId w:val="3"/>
        </w:numPr>
        <w:spacing w:line="360" w:lineRule="auto"/>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认知康复训练方案应采用难度自适应技术，可根据患者当前的训练状况进行训练难度自适应调节；</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安装操作简便，可以实现移动测评，</w:t>
      </w:r>
      <w:r>
        <w:rPr>
          <w:rFonts w:hint="eastAsia" w:ascii="宋体" w:hAnsi="宋体" w:cs="宋体"/>
          <w:sz w:val="24"/>
        </w:rPr>
        <w:t>医生可实时查看患者数据，动态追踪患者训练情况。</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认知康复训练满足多场景训练需求，包括在院内训练及居家远程训练，同时医生可以实时监控患者的训练数据；</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对于题数较多的测评，或因特殊原因不能一次性完成测评的，测试者应可随时根据自身情况选择暂停或终止测评，在第二次进行测评时系统将返回至上次的测评节点继续完成测评；</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软件常用量表配有语音导读开关，对于有阅读障碍或阅读有困难的用户，可以开启语音导读功能由软件将自动把当前的答题说明、答题内容及答题选项等通过语音（中文）朗读出来，适用于部分特殊群体的用户使用；</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全面整合用户档案软件，可轻松实现用户的同步建档，并支持管理员自定义档案项目；</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为尽可能满足各使用单位对用户测评的多样化需求，要求系统允许管理员可根据自己的需要自行添加定义所需的测评量表，并可自主设置量表的属性和分类，不同的部门科室应可独立设定量表测评权限。管理员可以实现对测评量表实现量表的完全管理、添加、定义；实现量表类别、名称、题目、选项、计分、因子公式、维度解释、指导建议、预警范围等条件控制等；</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系统可以支持管理员自定义各种类型的问卷，管理员可以自定义各类型题目（例如：单选、多选、判断、填空、排序、计算、简答、问答、作文等题目类型），系统支持自助组卷、随机组卷、手动随机相结合等多种组卷形式，客观题系统自动实现打分，成绩自动排名统计，适合各单位进行在线模拟考试、在线习题练习以及知识问答等需求。</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系统支持自定义测评结果功能。即管理人员可以将系统给出的用户的认知功能分析报告进行自定义修改，以便于各管理员可以针对不同的用户给出更为多样化更具体的指导建议。</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系统具有二维码扫码测试、扫码查看报告、扫码注册、扫码登陆系统等功能。便于用户通过手机等移动设备端进行软件使用，极大的满足用户的使用习惯，可大幅降低软件对单位电脑硬件方面的要求。</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系统对测评用户进行团体和个体的数据统计；可以查看个体用户的测评轨迹，对比每次测评时被测人员的认知能力变化情况；</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测评软件具有认知障碍风险预警功能，对于认知障碍高风险人群的用户，给予训练方案的推荐。</w:t>
      </w:r>
    </w:p>
    <w:p>
      <w:pPr>
        <w:pStyle w:val="41"/>
        <w:widowControl/>
        <w:numPr>
          <w:ilvl w:val="0"/>
          <w:numId w:val="3"/>
        </w:numPr>
        <w:spacing w:line="540" w:lineRule="exact"/>
        <w:ind w:firstLineChars="0"/>
        <w:rPr>
          <w:rFonts w:ascii="宋体" w:hAnsi="宋体" w:cs="宋体"/>
          <w:sz w:val="24"/>
        </w:rPr>
      </w:pPr>
      <w:r>
        <w:rPr>
          <w:rFonts w:hint="eastAsia" w:ascii="仿宋_GB2312" w:hAnsi="仿宋_GB2312" w:eastAsia="仿宋_GB2312" w:cs="仿宋_GB2312"/>
          <w:sz w:val="28"/>
          <w:szCs w:val="28"/>
        </w:rPr>
        <w:t>软件具有认知障碍普查功能，可同时进行大规模的认知障碍初筛，无使用人数限制；</w:t>
      </w:r>
    </w:p>
    <w:p>
      <w:pPr>
        <w:pStyle w:val="41"/>
        <w:widowControl/>
        <w:numPr>
          <w:ilvl w:val="0"/>
          <w:numId w:val="3"/>
        </w:numPr>
        <w:spacing w:line="540" w:lineRule="exact"/>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测评报告生成多样化：测评可根据中国人群大样本数据库常模由软件自动报告检测结果并给出量化评估</w:t>
      </w:r>
    </w:p>
    <w:p/>
    <w:p/>
    <w:p>
      <w:pPr>
        <w:pStyle w:val="4"/>
        <w:jc w:val="center"/>
        <w:rPr>
          <w:rFonts w:ascii="仿宋" w:hAnsi="仿宋" w:eastAsia="仿宋" w:cs="仿宋"/>
          <w:b w:val="0"/>
          <w:szCs w:val="44"/>
        </w:rPr>
      </w:pPr>
      <w:r>
        <w:rPr>
          <w:rFonts w:hint="eastAsia" w:ascii="仿宋" w:hAnsi="仿宋" w:eastAsia="仿宋" w:cs="仿宋"/>
          <w:b w:val="0"/>
          <w:szCs w:val="44"/>
        </w:rPr>
        <w:t xml:space="preserve"> </w:t>
      </w:r>
      <w:bookmarkStart w:id="17" w:name="_Toc395"/>
      <w:bookmarkStart w:id="18" w:name="_Toc24760"/>
      <w:r>
        <w:rPr>
          <w:rFonts w:hint="eastAsia" w:ascii="仿宋" w:hAnsi="仿宋" w:eastAsia="仿宋" w:cs="仿宋"/>
          <w:b w:val="0"/>
          <w:szCs w:val="44"/>
        </w:rPr>
        <w:t>第五章 项目运维管理</w:t>
      </w:r>
      <w:bookmarkEnd w:id="17"/>
      <w:bookmarkEnd w:id="18"/>
    </w:p>
    <w:p>
      <w:pPr>
        <w:pStyle w:val="5"/>
      </w:pPr>
      <w:bookmarkStart w:id="19" w:name="_Toc15715"/>
      <w:bookmarkStart w:id="20" w:name="_Toc22124"/>
      <w:r>
        <w:rPr>
          <w:rFonts w:hint="eastAsia"/>
        </w:rPr>
        <w:t>5.1人员培训方案</w:t>
      </w:r>
      <w:bookmarkEnd w:id="19"/>
      <w:bookmarkEnd w:id="20"/>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为了使本项目所涉及使用人员能全面地了解设备，增强维护和使用设备的技能，除了向用户提供整个设备的技术说明、操作说明和相关文档外，还将负责组织对现场设备管理维护人员进行全面高质量的培训。</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培训的目的主要是使管理和使用设备的人员不仅对设备有足够的认识，而且能完全胜任所承担的工作，确保设备安全可靠的运行。培训内容主要包括认知障碍疾病管理现状、管理平台操作、脑健康体检、脑功能康复训练系统使用、设备的维护保养工作、设备故障排除、事故应急措施等内容。</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培训对象为设备管理及使用人员，经过培训后主要能达到以下目标：</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sz w:val="28"/>
          <w:szCs w:val="28"/>
        </w:rPr>
        <w:tab/>
      </w:r>
      <w:r>
        <w:rPr>
          <w:rFonts w:hint="eastAsia" w:ascii="仿宋" w:hAnsi="仿宋" w:eastAsia="仿宋" w:cs="仿宋_GB2312"/>
          <w:sz w:val="28"/>
          <w:szCs w:val="28"/>
        </w:rPr>
        <w:t>了解设备结构、运行工作原理等内容；</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2)</w:t>
      </w:r>
      <w:r>
        <w:rPr>
          <w:rFonts w:hint="eastAsia" w:ascii="仿宋" w:hAnsi="仿宋" w:eastAsia="仿宋" w:cs="仿宋_GB2312"/>
          <w:sz w:val="28"/>
          <w:szCs w:val="28"/>
        </w:rPr>
        <w:tab/>
      </w:r>
      <w:r>
        <w:rPr>
          <w:rFonts w:hint="eastAsia" w:ascii="仿宋" w:hAnsi="仿宋" w:eastAsia="仿宋" w:cs="仿宋_GB2312"/>
          <w:sz w:val="28"/>
          <w:szCs w:val="28"/>
        </w:rPr>
        <w:t>掌握设备操作规程、设备维护保养方法等；</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3)</w:t>
      </w:r>
      <w:r>
        <w:rPr>
          <w:rFonts w:hint="eastAsia" w:ascii="仿宋" w:hAnsi="仿宋" w:eastAsia="仿宋" w:cs="仿宋_GB2312"/>
          <w:sz w:val="28"/>
          <w:szCs w:val="28"/>
        </w:rPr>
        <w:tab/>
      </w:r>
      <w:r>
        <w:rPr>
          <w:rFonts w:hint="eastAsia" w:ascii="仿宋" w:hAnsi="仿宋" w:eastAsia="仿宋" w:cs="仿宋_GB2312"/>
          <w:sz w:val="28"/>
          <w:szCs w:val="28"/>
        </w:rPr>
        <w:t>掌握设备一般性故障的诊断、定位和排除方法；</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4)</w:t>
      </w:r>
      <w:r>
        <w:rPr>
          <w:rFonts w:hint="eastAsia" w:ascii="仿宋" w:hAnsi="仿宋" w:eastAsia="仿宋" w:cs="仿宋_GB2312"/>
          <w:sz w:val="28"/>
          <w:szCs w:val="28"/>
        </w:rPr>
        <w:tab/>
      </w:r>
      <w:r>
        <w:rPr>
          <w:rFonts w:hint="eastAsia" w:ascii="仿宋" w:hAnsi="仿宋" w:eastAsia="仿宋" w:cs="仿宋_GB2312"/>
          <w:sz w:val="28"/>
          <w:szCs w:val="28"/>
        </w:rPr>
        <w:t>对平台系统熟知了解，使用熟练；</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5)</w:t>
      </w:r>
      <w:r>
        <w:rPr>
          <w:rFonts w:hint="eastAsia" w:ascii="仿宋" w:hAnsi="仿宋" w:eastAsia="仿宋" w:cs="仿宋_GB2312"/>
          <w:sz w:val="28"/>
          <w:szCs w:val="28"/>
        </w:rPr>
        <w:tab/>
      </w:r>
      <w:r>
        <w:rPr>
          <w:rFonts w:hint="eastAsia" w:ascii="仿宋" w:hAnsi="仿宋" w:eastAsia="仿宋" w:cs="仿宋_GB2312"/>
          <w:sz w:val="28"/>
          <w:szCs w:val="28"/>
        </w:rPr>
        <w:t>使用系统对认知障碍疾病进行检测及康复训练综合管理。</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为了使培训达到最佳效果，使用户获得尽可能多的知识和经验，我们将采用多种途径对用户进行培训：</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现场授课：由专业的科研人员及售后服务人员，在现场对用户进行培训。讲解认知障碍疾病管理现状，如何用系统进行脑健康体检以及认知损伤人群的康复训练管理。售后人员对设备操作进行讲解，配合现场演示。 </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现场指导：售后人员会指导使用人员进行操作，会详细讲解操作步骤，并解答客户的问题。</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培训计划及方案由双方共同商定。</w:t>
      </w:r>
    </w:p>
    <w:p>
      <w:pPr>
        <w:pStyle w:val="5"/>
      </w:pPr>
      <w:bookmarkStart w:id="21" w:name="_Toc13934"/>
      <w:bookmarkStart w:id="22" w:name="_Toc9581"/>
      <w:r>
        <w:rPr>
          <w:rFonts w:hint="eastAsia"/>
        </w:rPr>
        <w:t>5.2项目运维</w:t>
      </w:r>
      <w:bookmarkEnd w:id="21"/>
      <w:bookmarkEnd w:id="22"/>
    </w:p>
    <w:p>
      <w:pPr>
        <w:ind w:firstLine="640" w:firstLineChars="200"/>
        <w:rPr>
          <w:rFonts w:ascii="仿宋" w:hAnsi="仿宋" w:eastAsia="仿宋" w:cs="仿宋"/>
          <w:sz w:val="32"/>
        </w:rPr>
      </w:pPr>
      <w:r>
        <w:rPr>
          <w:rFonts w:hint="eastAsia" w:ascii="仿宋" w:hAnsi="仿宋" w:eastAsia="仿宋" w:cs="仿宋"/>
          <w:sz w:val="32"/>
        </w:rPr>
        <w:t>5.2.1运维内容</w:t>
      </w:r>
    </w:p>
    <w:p>
      <w:pPr>
        <w:spacing w:line="36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本项目涉及软硬件日常常规运维工作由采购单位信息部门承担，系统软件的故障修复、软件功能完善及优化升级等由中标人负责，本项目所涉及相关硬件设备的服务异常、服务中断、系统故障、设备硬件损坏等现象由采购单位信息部门反馈给中标人，中标人须及时进行诊断、分析、处理及恢复。</w:t>
      </w:r>
    </w:p>
    <w:p>
      <w:pPr>
        <w:ind w:firstLine="560" w:firstLineChars="200"/>
        <w:rPr>
          <w:rFonts w:ascii="仿宋" w:hAnsi="仿宋" w:eastAsia="仿宋" w:cs="仿宋"/>
          <w:sz w:val="32"/>
        </w:rPr>
      </w:pPr>
      <w:r>
        <w:rPr>
          <w:rFonts w:hint="eastAsia" w:ascii="仿宋" w:hAnsi="仿宋" w:eastAsia="仿宋" w:cs="仿宋"/>
          <w:sz w:val="28"/>
          <w:szCs w:val="32"/>
        </w:rPr>
        <w:t xml:space="preserve"> </w:t>
      </w:r>
      <w:r>
        <w:rPr>
          <w:rFonts w:hint="eastAsia" w:ascii="仿宋" w:hAnsi="仿宋" w:eastAsia="仿宋" w:cs="仿宋"/>
          <w:sz w:val="32"/>
        </w:rPr>
        <w:t>5.2.2运维时间（质保时间）</w:t>
      </w:r>
    </w:p>
    <w:p>
      <w:pPr>
        <w:pStyle w:val="2"/>
        <w:ind w:firstLine="700" w:firstLineChars="250"/>
        <w:rPr>
          <w:rFonts w:hint="eastAsia" w:ascii="仿宋" w:hAnsi="仿宋" w:eastAsia="仿宋" w:cs="仿宋_GB2312"/>
          <w:b w:val="0"/>
          <w:kern w:val="2"/>
          <w:sz w:val="28"/>
          <w:szCs w:val="28"/>
          <w:lang w:val="en-US" w:eastAsia="zh-CN" w:bidi="ar-SA"/>
        </w:rPr>
      </w:pPr>
      <w:r>
        <w:rPr>
          <w:rFonts w:hint="eastAsia" w:ascii="仿宋" w:hAnsi="仿宋" w:eastAsia="仿宋" w:cs="仿宋_GB2312"/>
          <w:b w:val="0"/>
          <w:kern w:val="2"/>
          <w:sz w:val="28"/>
          <w:szCs w:val="28"/>
          <w:lang w:val="en-US" w:eastAsia="zh-CN" w:bidi="ar-SA"/>
        </w:rPr>
        <w:t>项目实施完成验收后，提供5年免费维保期，维保期内专门负责工程师对接服务。</w:t>
      </w:r>
    </w:p>
    <w:p>
      <w:pPr>
        <w:ind w:firstLine="640" w:firstLineChars="200"/>
        <w:rPr>
          <w:rFonts w:ascii="仿宋" w:hAnsi="仿宋" w:eastAsia="仿宋" w:cs="仿宋"/>
          <w:sz w:val="32"/>
        </w:rPr>
      </w:pPr>
      <w:bookmarkStart w:id="36" w:name="_GoBack"/>
      <w:bookmarkEnd w:id="36"/>
      <w:r>
        <w:rPr>
          <w:rFonts w:hint="eastAsia" w:ascii="仿宋" w:hAnsi="仿宋" w:eastAsia="仿宋" w:cs="仿宋"/>
          <w:sz w:val="32"/>
        </w:rPr>
        <w:t>5.2.3运维要求</w:t>
      </w:r>
    </w:p>
    <w:p>
      <w:pPr>
        <w:spacing w:line="360" w:lineRule="auto"/>
        <w:ind w:firstLine="560" w:firstLineChars="200"/>
        <w:rPr>
          <w:rFonts w:ascii="仿宋" w:hAnsi="仿宋" w:eastAsia="仿宋" w:cs="仿宋"/>
          <w:sz w:val="28"/>
          <w:szCs w:val="32"/>
        </w:rPr>
      </w:pPr>
      <w:r>
        <w:rPr>
          <w:rFonts w:hint="eastAsia" w:ascii="仿宋" w:hAnsi="仿宋" w:eastAsia="仿宋" w:cs="仿宋"/>
          <w:sz w:val="28"/>
          <w:szCs w:val="32"/>
        </w:rPr>
        <w:t>中标人须有稳定的、专业的项目团队，负责本项目服务实施工作，并进行相关的项目管控和随时调整项目实施方向。</w:t>
      </w:r>
      <w:r>
        <w:rPr>
          <w:rFonts w:hint="eastAsia" w:ascii="仿宋" w:hAnsi="仿宋" w:eastAsia="仿宋"/>
          <w:sz w:val="28"/>
          <w:szCs w:val="28"/>
        </w:rPr>
        <w:t>需提供现场服务、电话技术支持服务、电子邮件技术支持服务、远程管理等。</w:t>
      </w:r>
    </w:p>
    <w:p>
      <w:pPr>
        <w:ind w:firstLine="640" w:firstLineChars="200"/>
        <w:rPr>
          <w:rFonts w:ascii="仿宋" w:hAnsi="仿宋" w:eastAsia="仿宋" w:cs="仿宋"/>
          <w:sz w:val="32"/>
        </w:rPr>
      </w:pPr>
      <w:r>
        <w:rPr>
          <w:rFonts w:hint="eastAsia" w:ascii="仿宋" w:hAnsi="仿宋" w:eastAsia="仿宋" w:cs="仿宋"/>
          <w:sz w:val="32"/>
        </w:rPr>
        <w:t>5.2.4其它</w:t>
      </w:r>
    </w:p>
    <w:p>
      <w:pPr>
        <w:ind w:firstLine="560" w:firstLineChars="200"/>
      </w:pPr>
      <w:r>
        <w:rPr>
          <w:rFonts w:hint="eastAsia" w:ascii="仿宋" w:hAnsi="仿宋" w:eastAsia="仿宋" w:cs="仿宋"/>
          <w:sz w:val="28"/>
          <w:szCs w:val="32"/>
        </w:rPr>
        <w:t>中标人须针对本项目，确保人力、物力的投入，实施人员须具备丰富的信息安全知识，具有快速解决问题的能力，有较高判断故障和管理协调的能力。</w:t>
      </w:r>
    </w:p>
    <w:p>
      <w:pPr>
        <w:pStyle w:val="4"/>
        <w:jc w:val="center"/>
        <w:rPr>
          <w:rFonts w:ascii="仿宋" w:hAnsi="仿宋" w:eastAsia="仿宋" w:cs="仿宋"/>
          <w:b w:val="0"/>
          <w:szCs w:val="44"/>
        </w:rPr>
      </w:pPr>
      <w:r>
        <w:rPr>
          <w:rFonts w:hint="eastAsia" w:ascii="仿宋" w:hAnsi="仿宋" w:eastAsia="仿宋" w:cs="仿宋"/>
          <w:b w:val="0"/>
          <w:szCs w:val="44"/>
        </w:rPr>
        <w:t xml:space="preserve"> </w:t>
      </w:r>
      <w:bookmarkStart w:id="23" w:name="_Toc3990"/>
      <w:bookmarkStart w:id="24" w:name="_Toc3697"/>
      <w:r>
        <w:rPr>
          <w:rFonts w:hint="eastAsia" w:ascii="仿宋" w:hAnsi="仿宋" w:eastAsia="仿宋" w:cs="仿宋"/>
          <w:b w:val="0"/>
          <w:szCs w:val="44"/>
        </w:rPr>
        <w:t>第六章  效益与评价指标分析</w:t>
      </w:r>
      <w:bookmarkEnd w:id="23"/>
      <w:bookmarkEnd w:id="24"/>
    </w:p>
    <w:p>
      <w:pPr>
        <w:pStyle w:val="5"/>
      </w:pPr>
      <w:bookmarkStart w:id="25" w:name="_Toc65857295"/>
      <w:bookmarkStart w:id="26" w:name="_Toc8951"/>
      <w:bookmarkStart w:id="27" w:name="_Toc450351520"/>
      <w:bookmarkStart w:id="28" w:name="_Toc477448020"/>
      <w:bookmarkStart w:id="29" w:name="_Toc517216980"/>
      <w:bookmarkStart w:id="30" w:name="_Toc489975298"/>
      <w:bookmarkStart w:id="31" w:name="_Toc492629029"/>
      <w:bookmarkStart w:id="32" w:name="_Toc21654"/>
      <w:r>
        <w:rPr>
          <w:rFonts w:hint="eastAsia"/>
        </w:rPr>
        <w:t>6.1收费标准</w:t>
      </w:r>
      <w:bookmarkEnd w:id="25"/>
      <w:bookmarkEnd w:id="26"/>
    </w:p>
    <w:p>
      <w:pPr>
        <w:pStyle w:val="41"/>
        <w:numPr>
          <w:ilvl w:val="0"/>
          <w:numId w:val="4"/>
        </w:numPr>
        <w:ind w:firstLineChars="0"/>
        <w:rPr>
          <w:vanish/>
        </w:rPr>
      </w:pPr>
    </w:p>
    <w:p>
      <w:pPr>
        <w:pStyle w:val="41"/>
        <w:numPr>
          <w:ilvl w:val="0"/>
          <w:numId w:val="4"/>
        </w:numPr>
        <w:ind w:firstLineChars="0"/>
        <w:rPr>
          <w:vanish/>
        </w:rPr>
      </w:pPr>
    </w:p>
    <w:p>
      <w:pPr>
        <w:pStyle w:val="41"/>
        <w:numPr>
          <w:ilvl w:val="0"/>
          <w:numId w:val="4"/>
        </w:numPr>
        <w:ind w:firstLineChars="0"/>
        <w:rPr>
          <w:vanish/>
        </w:rPr>
      </w:pPr>
    </w:p>
    <w:p>
      <w:pPr>
        <w:pStyle w:val="41"/>
        <w:numPr>
          <w:ilvl w:val="0"/>
          <w:numId w:val="4"/>
        </w:numPr>
        <w:ind w:firstLineChars="0"/>
        <w:rPr>
          <w:vanish/>
        </w:rPr>
      </w:pPr>
    </w:p>
    <w:p>
      <w:pPr>
        <w:pStyle w:val="41"/>
        <w:numPr>
          <w:ilvl w:val="0"/>
          <w:numId w:val="4"/>
        </w:numPr>
        <w:ind w:firstLineChars="0"/>
        <w:rPr>
          <w:vanish/>
        </w:rPr>
      </w:pPr>
    </w:p>
    <w:p>
      <w:pPr>
        <w:pStyle w:val="41"/>
        <w:numPr>
          <w:ilvl w:val="1"/>
          <w:numId w:val="4"/>
        </w:numPr>
        <w:ind w:firstLineChars="0"/>
        <w:rPr>
          <w:vanish/>
        </w:rPr>
      </w:pPr>
    </w:p>
    <w:p>
      <w:pPr>
        <w:pStyle w:val="41"/>
        <w:numPr>
          <w:ilvl w:val="2"/>
          <w:numId w:val="4"/>
        </w:numPr>
        <w:ind w:firstLineChars="0"/>
        <w:rPr>
          <w:vanish/>
        </w:rPr>
      </w:pPr>
    </w:p>
    <w:p>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参考当地医疗系统收费目录。</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3256"/>
        <w:gridCol w:w="3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收费代码</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项目名称</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收费价格（单位：元）</w:t>
            </w:r>
          </w:p>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（执行当地标准）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311501001</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精神科A类量表</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23-66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311501002</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精神科B类量表</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34-98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311503003</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精神科C类量表</w:t>
            </w:r>
          </w:p>
        </w:tc>
        <w:tc>
          <w:tcPr>
            <w:tcW w:w="3256" w:type="dxa"/>
          </w:tcPr>
          <w:p>
            <w:pPr>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lang w:val="zh-CN"/>
              </w:rPr>
              <w:t>45-112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311502007</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脑功能检查</w:t>
            </w:r>
          </w:p>
        </w:tc>
        <w:tc>
          <w:tcPr>
            <w:tcW w:w="3256" w:type="dxa"/>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5</w:t>
            </w:r>
            <w:r>
              <w:rPr>
                <w:rFonts w:ascii="仿宋_GB2312" w:hAnsi="仿宋_GB2312" w:eastAsia="仿宋_GB2312" w:cs="仿宋_GB2312"/>
                <w:sz w:val="24"/>
                <w:szCs w:val="24"/>
                <w:lang w:val="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340200012</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认知知觉功能检查</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2</w:t>
            </w:r>
            <w:r>
              <w:rPr>
                <w:rFonts w:ascii="仿宋_GB2312" w:hAnsi="仿宋_GB2312" w:eastAsia="仿宋_GB2312" w:cs="仿宋_GB2312"/>
                <w:sz w:val="24"/>
                <w:szCs w:val="24"/>
                <w:lang w:val="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340200013</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记忆力评定</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2</w:t>
            </w:r>
            <w:r>
              <w:rPr>
                <w:rFonts w:ascii="仿宋_GB2312" w:hAnsi="仿宋_GB2312" w:eastAsia="仿宋_GB2312" w:cs="仿宋_GB2312"/>
                <w:sz w:val="24"/>
                <w:szCs w:val="24"/>
                <w:lang w:val="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340200016</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记忆广度检查</w:t>
            </w:r>
          </w:p>
        </w:tc>
        <w:tc>
          <w:tcPr>
            <w:tcW w:w="3256" w:type="dxa"/>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1</w:t>
            </w:r>
            <w:r>
              <w:rPr>
                <w:rFonts w:ascii="仿宋_GB2312" w:hAnsi="仿宋_GB2312" w:eastAsia="仿宋_GB2312" w:cs="仿宋_GB2312"/>
                <w:sz w:val="24"/>
                <w:szCs w:val="24"/>
                <w:lang w:val="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340200003</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日常生活能力评定</w:t>
            </w:r>
          </w:p>
        </w:tc>
        <w:tc>
          <w:tcPr>
            <w:tcW w:w="3256" w:type="dxa"/>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2</w:t>
            </w:r>
            <w:r>
              <w:rPr>
                <w:rFonts w:ascii="仿宋_GB2312" w:hAnsi="仿宋_GB2312" w:eastAsia="仿宋_GB2312" w:cs="仿宋_GB2312"/>
                <w:sz w:val="24"/>
                <w:szCs w:val="24"/>
                <w:lang w:val="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340200038</w:t>
            </w:r>
          </w:p>
        </w:tc>
        <w:tc>
          <w:tcPr>
            <w:tcW w:w="3256" w:type="dxa"/>
            <w:vAlign w:val="center"/>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认知知觉功能障碍训练</w:t>
            </w:r>
          </w:p>
        </w:tc>
        <w:tc>
          <w:tcPr>
            <w:tcW w:w="3256" w:type="dxa"/>
          </w:tcPr>
          <w:p>
            <w:pPr>
              <w:spacing w:line="360" w:lineRule="auto"/>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2</w:t>
            </w:r>
            <w:r>
              <w:rPr>
                <w:rFonts w:ascii="仿宋_GB2312" w:hAnsi="仿宋_GB2312" w:eastAsia="仿宋_GB2312" w:cs="仿宋_GB2312"/>
                <w:sz w:val="24"/>
                <w:szCs w:val="24"/>
                <w:lang w:val="zh-CN"/>
              </w:rPr>
              <w:t>4</w:t>
            </w:r>
          </w:p>
        </w:tc>
      </w:tr>
    </w:tbl>
    <w:p>
      <w:pPr>
        <w:pStyle w:val="5"/>
      </w:pPr>
      <w:r>
        <w:rPr>
          <w:rFonts w:hint="eastAsia"/>
        </w:rPr>
        <w:t>6</w:t>
      </w:r>
      <w:r>
        <w:t>.2</w:t>
      </w:r>
      <w:r>
        <w:rPr>
          <w:rFonts w:hint="eastAsia"/>
        </w:rPr>
        <w:t>社会效益</w:t>
      </w:r>
      <w:bookmarkStart w:id="33" w:name="_Toc16008"/>
      <w:bookmarkStart w:id="34" w:name="_Toc65857297"/>
    </w:p>
    <w:p>
      <w:pPr>
        <w:spacing w:line="360" w:lineRule="auto"/>
        <w:ind w:firstLine="560" w:firstLineChars="200"/>
        <w:rPr>
          <w:rFonts w:ascii="仿宋" w:hAnsi="仿宋" w:eastAsia="仿宋" w:cs="仿宋"/>
          <w:sz w:val="28"/>
          <w:szCs w:val="32"/>
        </w:rPr>
      </w:pPr>
      <w:r>
        <w:rPr>
          <w:rFonts w:hint="eastAsia" w:ascii="仿宋" w:hAnsi="仿宋" w:eastAsia="仿宋" w:cs="仿宋"/>
          <w:sz w:val="28"/>
          <w:szCs w:val="32"/>
        </w:rPr>
        <w:t xml:space="preserve">早期痴呆及痴呆风险人群的知晓率低，就诊率不足千分之四，及时发现这些患者并早期干预, 将可减少约1/3患病人数，从而节约巨额医疗经济资源。根据北京师范大学在北京市开展的调研显示，北京市65岁以上老年人患有轻度认知障碍（MCI）的占比为15.7%，以此估计全市目前约有35.4万MCI患者。在未经干预和治疗的情况下，这些患者在5年内将有超过50%的人群进展为临床痴呆症（约17.7万）。在北京地区的老年期AD患者, 其平均住院36.5d/a, 均花费 16706.58元,其中公费占到了96.9%。日常医药费平均为（703±533）元/月, 再加上生活费用,每个老年期 AD 患者年均费用为30628.97元。因此, 若能够通过脑健康促进与认知康复训练中心建设，植根社区、服务居民，形成“早筛、早诊、早治”认知障碍筛查防控体系，早期干预延缓MCI患者进展为AD,理论上5年后将为北京市节约医护成本233.6亿元。 </w:t>
      </w:r>
    </w:p>
    <w:p>
      <w:pPr>
        <w:spacing w:line="360" w:lineRule="auto"/>
        <w:ind w:firstLine="560" w:firstLineChars="200"/>
        <w:rPr>
          <w:rFonts w:ascii="仿宋" w:hAnsi="仿宋" w:eastAsia="仿宋" w:cs="仿宋"/>
          <w:sz w:val="28"/>
          <w:szCs w:val="32"/>
        </w:rPr>
      </w:pPr>
      <w:r>
        <w:rPr>
          <w:rFonts w:hint="eastAsia" w:ascii="仿宋_GB2312" w:hAnsi="仿宋_GB2312" w:eastAsia="仿宋_GB2312" w:cs="仿宋_GB2312"/>
          <w:sz w:val="28"/>
          <w:szCs w:val="28"/>
        </w:rPr>
        <w:t>认知障碍防治依托科学先进的电子化测评方式、全链式数据管理模式等技术改善传统纸笔检测测评效率低、耗费时间长、施测过程复杂等弊端，其中记忆门诊仅耗时6-9分钟即可完成认知障碍的初筛，并且可为4-5名老人同时筛查，大大释放了医疗资源，提高了诊疗效率。认知康复训练站的建立利用便捷的电子化的非侵入性干预手段，将这种科学、安全、有效的痴呆早期防治方法带到居民的家门口。灵活智能化的认知训练方式通过“线上线下”打通了“医院-家庭”，不仅方便居民，更为社区卫生服务中心（站）实现收益创收。</w:t>
      </w:r>
    </w:p>
    <w:p>
      <w:pPr>
        <w:pStyle w:val="5"/>
      </w:pPr>
      <w:r>
        <w:rPr>
          <w:rFonts w:hint="eastAsia"/>
        </w:rPr>
        <w:t>6.3经济效益</w:t>
      </w:r>
      <w:bookmarkEnd w:id="33"/>
      <w:bookmarkEnd w:id="34"/>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以安徽省2021年收费为例：假设前来门诊的患者存在记忆力下降等认知功能障碍，医生可给患者分配“脑功能检查（5</w:t>
      </w:r>
      <w:r>
        <w:rPr>
          <w:rFonts w:ascii="仿宋_GB2312" w:hAnsi="仿宋_GB2312" w:eastAsia="仿宋_GB2312" w:cs="仿宋_GB2312"/>
          <w:sz w:val="28"/>
          <w:szCs w:val="28"/>
        </w:rPr>
        <w:t>0</w:t>
      </w:r>
      <w:r>
        <w:rPr>
          <w:rFonts w:hint="eastAsia" w:ascii="仿宋_GB2312" w:hAnsi="仿宋_GB2312" w:eastAsia="仿宋_GB2312" w:cs="仿宋_GB2312"/>
          <w:sz w:val="28"/>
          <w:szCs w:val="28"/>
        </w:rPr>
        <w:t>元）”、“认知知觉功能检查（2</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元）”、“记忆力评定（2</w:t>
      </w:r>
      <w:r>
        <w:rPr>
          <w:rFonts w:ascii="仿宋_GB2312" w:hAnsi="仿宋_GB2312" w:eastAsia="仿宋_GB2312" w:cs="仿宋_GB2312"/>
          <w:sz w:val="28"/>
          <w:szCs w:val="28"/>
        </w:rPr>
        <w:t>4</w:t>
      </w:r>
      <w:r>
        <w:rPr>
          <w:rFonts w:hint="eastAsia" w:ascii="仿宋_GB2312" w:hAnsi="仿宋_GB2312" w:eastAsia="仿宋_GB2312" w:cs="仿宋_GB2312"/>
          <w:sz w:val="28"/>
          <w:szCs w:val="28"/>
        </w:rPr>
        <w:t>元）”、“记忆广度检查（1</w:t>
      </w:r>
      <w:r>
        <w:rPr>
          <w:rFonts w:ascii="仿宋_GB2312" w:hAnsi="仿宋_GB2312" w:eastAsia="仿宋_GB2312" w:cs="仿宋_GB2312"/>
          <w:sz w:val="28"/>
          <w:szCs w:val="28"/>
        </w:rPr>
        <w:t>8</w:t>
      </w:r>
      <w:r>
        <w:rPr>
          <w:rFonts w:hint="eastAsia" w:ascii="仿宋_GB2312" w:hAnsi="仿宋_GB2312" w:eastAsia="仿宋_GB2312" w:cs="仿宋_GB2312"/>
          <w:sz w:val="28"/>
          <w:szCs w:val="28"/>
        </w:rPr>
        <w:t>元）”，那么此患者的收费则为</w:t>
      </w:r>
      <w:r>
        <w:rPr>
          <w:rFonts w:ascii="仿宋_GB2312" w:hAnsi="仿宋_GB2312" w:eastAsia="仿宋_GB2312" w:cs="仿宋_GB2312"/>
          <w:sz w:val="28"/>
          <w:szCs w:val="28"/>
        </w:rPr>
        <w:t>116</w:t>
      </w:r>
      <w:r>
        <w:rPr>
          <w:rFonts w:hint="eastAsia" w:ascii="仿宋_GB2312" w:hAnsi="仿宋_GB2312" w:eastAsia="仿宋_GB2312" w:cs="仿宋_GB2312"/>
          <w:sz w:val="28"/>
          <w:szCs w:val="28"/>
        </w:rPr>
        <w:t>元。如果医院门诊量为1万人次/年，70%的患者需要使用上述4套量表进行认知能力评估，则一年的门诊收入：</w:t>
      </w:r>
      <w:r>
        <w:rPr>
          <w:rFonts w:ascii="仿宋_GB2312" w:hAnsi="仿宋_GB2312" w:eastAsia="仿宋_GB2312" w:cs="仿宋_GB2312"/>
          <w:sz w:val="28"/>
          <w:szCs w:val="28"/>
        </w:rPr>
        <w:t>116</w:t>
      </w:r>
      <w:r>
        <w:rPr>
          <w:rFonts w:hint="eastAsia" w:ascii="仿宋_GB2312" w:hAnsi="仿宋_GB2312" w:eastAsia="仿宋_GB2312" w:cs="仿宋_GB2312"/>
          <w:sz w:val="28"/>
          <w:szCs w:val="28"/>
        </w:rPr>
        <w:t>元/人*0.7万人/年≈</w:t>
      </w:r>
      <w:r>
        <w:rPr>
          <w:rFonts w:ascii="仿宋_GB2312" w:hAnsi="仿宋_GB2312" w:eastAsia="仿宋_GB2312" w:cs="仿宋_GB2312"/>
          <w:sz w:val="28"/>
          <w:szCs w:val="28"/>
        </w:rPr>
        <w:t>81.2</w:t>
      </w:r>
      <w:r>
        <w:rPr>
          <w:rFonts w:hint="eastAsia" w:ascii="仿宋_GB2312" w:hAnsi="仿宋_GB2312" w:eastAsia="仿宋_GB2312" w:cs="仿宋_GB2312"/>
          <w:sz w:val="28"/>
          <w:szCs w:val="28"/>
        </w:rPr>
        <w:t>万/年。</w:t>
      </w:r>
      <w:bookmarkEnd w:id="27"/>
      <w:bookmarkEnd w:id="28"/>
      <w:bookmarkEnd w:id="29"/>
      <w:bookmarkEnd w:id="30"/>
      <w:bookmarkEnd w:id="31"/>
    </w:p>
    <w:p>
      <w:pPr>
        <w:pStyle w:val="4"/>
        <w:jc w:val="center"/>
        <w:rPr>
          <w:rFonts w:ascii="仿宋" w:hAnsi="仿宋" w:eastAsia="仿宋" w:cs="仿宋"/>
          <w:b w:val="0"/>
          <w:szCs w:val="44"/>
        </w:rPr>
      </w:pPr>
      <w:bookmarkStart w:id="35" w:name="_Toc19157"/>
      <w:r>
        <w:rPr>
          <w:rFonts w:hint="eastAsia" w:ascii="仿宋" w:hAnsi="仿宋" w:eastAsia="仿宋" w:cs="仿宋"/>
          <w:b w:val="0"/>
          <w:szCs w:val="44"/>
        </w:rPr>
        <w:t>第七章 注意事项</w:t>
      </w:r>
      <w:bookmarkEnd w:id="32"/>
      <w:bookmarkEnd w:id="35"/>
    </w:p>
    <w:p>
      <w:pPr>
        <w:rPr>
          <w:rFonts w:ascii="仿宋" w:hAnsi="仿宋" w:eastAsia="仿宋" w:cs="仿宋"/>
          <w:b/>
          <w:color w:val="FF0000"/>
          <w:sz w:val="28"/>
          <w:szCs w:val="28"/>
        </w:rPr>
      </w:pPr>
      <w:r>
        <w:rPr>
          <w:rFonts w:hint="eastAsia" w:ascii="仿宋" w:hAnsi="仿宋" w:eastAsia="仿宋" w:cs="仿宋"/>
          <w:b/>
          <w:color w:val="FF0000"/>
          <w:sz w:val="28"/>
          <w:szCs w:val="28"/>
        </w:rPr>
        <w:t>（请投标方仔细阅研）</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 xml:space="preserve">单独采购的正版数据库软件、操作系统、云平台软件等系统或第三方软件，必须授权给马鞍山市人民政府，原厂授权函原件需提交市数据资源管理局备案； </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各部门原则上不再新建网络机房，所需业务运行环境如服务器、存储、安全等设备由市政务云提供，项目中需要但采购清单中不含操作系统、数据库等系统软件的，由中标单位负责系统软件正版化，中标后，将授权函原件需提交市数据资源管理局备案；</w:t>
      </w:r>
    </w:p>
    <w:p>
      <w:pPr>
        <w:widowControl/>
        <w:numPr>
          <w:ilvl w:val="0"/>
          <w:numId w:val="5"/>
        </w:numPr>
        <w:spacing w:line="560" w:lineRule="exact"/>
        <w:ind w:left="0" w:firstLine="640" w:firstLineChars="200"/>
        <w:rPr>
          <w:rFonts w:ascii="仿宋_GB2312" w:hAnsi="仿宋" w:eastAsia="仿宋_GB2312" w:cs="仿宋"/>
          <w:color w:val="FF0000"/>
          <w:sz w:val="32"/>
          <w:szCs w:val="32"/>
          <w:highlight w:val="yellow"/>
        </w:rPr>
      </w:pPr>
      <w:r>
        <w:rPr>
          <w:rFonts w:hint="eastAsia" w:ascii="仿宋_GB2312" w:hAnsi="仿宋" w:eastAsia="仿宋_GB2312" w:cs="仿宋"/>
          <w:color w:val="FF0000"/>
          <w:sz w:val="32"/>
          <w:szCs w:val="32"/>
          <w:highlight w:val="yellow"/>
        </w:rPr>
        <w:t>业务系统软件项目根据应用场景情况采购数据库产品的，原则上不得选择大型昂贵的数据库，使用经济适用型正版数据库软件；</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所有的存储设备、安全设备、备份设备以及预算价格在十万以上的核心网络设备需提供五年免费原厂质保服务承诺函，其他硬件设备需提供三年免费原厂质保服务承诺函，承诺函原件需提交市数据资源管理局备案；</w:t>
      </w:r>
    </w:p>
    <w:p>
      <w:pPr>
        <w:widowControl/>
        <w:numPr>
          <w:ilvl w:val="0"/>
          <w:numId w:val="5"/>
        </w:numPr>
        <w:spacing w:line="560" w:lineRule="exact"/>
        <w:ind w:left="0" w:firstLine="640" w:firstLineChars="200"/>
        <w:jc w:val="left"/>
        <w:rPr>
          <w:rFonts w:ascii="仿宋_GB2312" w:hAnsi="仿宋" w:eastAsia="仿宋_GB2312" w:cs="仿宋"/>
          <w:color w:val="FF0000"/>
          <w:sz w:val="32"/>
          <w:szCs w:val="32"/>
        </w:rPr>
      </w:pPr>
      <w:r>
        <w:rPr>
          <w:rFonts w:hint="eastAsia" w:ascii="仿宋_GB2312" w:hAnsi="仿宋" w:eastAsia="仿宋_GB2312" w:cs="仿宋"/>
          <w:color w:val="FF0000"/>
          <w:sz w:val="32"/>
          <w:szCs w:val="32"/>
        </w:rPr>
        <w:t>监控系统、视频会议系统、信息发布等硬件系统必须具有开放性，提供可供二次开发的设备SDK软件包，使关联的系统能调用相应功能和数据。</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UPS电池需多提供两节电池（随机抽取）供甲方、市数据资源管理局测试容量和破坏性检测，电池内不应含有与制造电池原料无关的材料（如玻璃，沙石，石灰等）。</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项目中涉及的安装调试，必须包含相关线缆、线槽、电管、线卡、桥架、线盒、软管、电源插排等所有辅材。</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方案设备清单中技术参数部分所有描述为“支持”的，均表示具备、配置、提供、实现等意思，是必须要满足的要求；</w:t>
      </w:r>
    </w:p>
    <w:p>
      <w:pPr>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中标单位对项目中的业务系统、软硬件平台必须免费承诺开放；业务软件开发的相关知识产权为业主所有，中标单位必须免费深度开放所有数据及业务协同接口及免费预留必要的二次开发接口，所有需要与其它系统对接的接口问题由业主负责协调解决。</w:t>
      </w:r>
    </w:p>
    <w:p>
      <w:pPr>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业务系统软件项目，</w:t>
      </w:r>
      <w:r>
        <w:rPr>
          <w:rFonts w:ascii="仿宋_GB2312" w:hAnsi="仿宋" w:eastAsia="仿宋_GB2312" w:cs="仿宋"/>
          <w:color w:val="FF0000"/>
          <w:sz w:val="32"/>
          <w:szCs w:val="32"/>
        </w:rPr>
        <w:t>面向公众提供政务服务、公共服务和便民服务的应用</w:t>
      </w:r>
      <w:r>
        <w:rPr>
          <w:rFonts w:hint="eastAsia" w:ascii="仿宋_GB2312" w:hAnsi="仿宋" w:eastAsia="仿宋_GB2312" w:cs="仿宋"/>
          <w:color w:val="FF0000"/>
          <w:sz w:val="32"/>
          <w:szCs w:val="32"/>
        </w:rPr>
        <w:t>，</w:t>
      </w:r>
      <w:r>
        <w:rPr>
          <w:rFonts w:ascii="仿宋_GB2312" w:hAnsi="仿宋" w:eastAsia="仿宋_GB2312" w:cs="仿宋"/>
          <w:color w:val="FF0000"/>
          <w:sz w:val="32"/>
          <w:szCs w:val="32"/>
        </w:rPr>
        <w:t>接入</w:t>
      </w:r>
      <w:r>
        <w:rPr>
          <w:rFonts w:hint="eastAsia" w:ascii="仿宋_GB2312" w:hAnsi="仿宋" w:eastAsia="仿宋_GB2312" w:cs="仿宋"/>
          <w:color w:val="FF0000"/>
          <w:sz w:val="32"/>
          <w:szCs w:val="32"/>
        </w:rPr>
        <w:t>市网上政务服务平台、</w:t>
      </w:r>
      <w:r>
        <w:rPr>
          <w:rFonts w:ascii="仿宋_GB2312" w:hAnsi="仿宋" w:eastAsia="仿宋_GB2312" w:cs="仿宋"/>
          <w:color w:val="FF0000"/>
          <w:sz w:val="32"/>
          <w:szCs w:val="32"/>
        </w:rPr>
        <w:t xml:space="preserve"> “皖事通”APP,</w:t>
      </w:r>
      <w:r>
        <w:rPr>
          <w:rFonts w:hint="eastAsia" w:ascii="仿宋_GB2312" w:hAnsi="仿宋" w:eastAsia="仿宋_GB2312" w:cs="仿宋"/>
          <w:color w:val="FF0000"/>
          <w:sz w:val="32"/>
          <w:szCs w:val="32"/>
        </w:rPr>
        <w:t>并</w:t>
      </w:r>
      <w:r>
        <w:rPr>
          <w:rFonts w:ascii="仿宋_GB2312" w:hAnsi="仿宋" w:eastAsia="仿宋_GB2312" w:cs="仿宋"/>
          <w:color w:val="FF0000"/>
          <w:sz w:val="32"/>
          <w:szCs w:val="32"/>
        </w:rPr>
        <w:t>实行统一用户认证、统一开放平台、统一移动APP、统一资源共享等，由电子政务项目建设业主单位向市数据资源管理局提出“皖事通”开放平台开放权限申请，说明开发便民服务情况及开发周期等，由市数据资源管理局研究确定上线开发工作，并提供后续技术和标准规范支撑服务</w:t>
      </w:r>
      <w:r>
        <w:rPr>
          <w:rFonts w:hint="eastAsia" w:ascii="仿宋_GB2312" w:hAnsi="仿宋" w:eastAsia="仿宋_GB2312" w:cs="仿宋"/>
          <w:color w:val="FF0000"/>
          <w:sz w:val="32"/>
          <w:szCs w:val="32"/>
        </w:rPr>
        <w:t>。</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ascii="仿宋_GB2312" w:hAnsi="仿宋" w:eastAsia="仿宋_GB2312" w:cs="仿宋"/>
          <w:color w:val="FF0000"/>
          <w:sz w:val="32"/>
          <w:szCs w:val="32"/>
        </w:rPr>
        <w:t>按照《马鞍山市政务信息资源共享管理办法》文件要求，</w:t>
      </w:r>
      <w:r>
        <w:rPr>
          <w:rFonts w:ascii="仿宋_GB2312" w:hAnsi="仿宋" w:eastAsia="仿宋_GB2312" w:cs="仿宋"/>
          <w:color w:val="FF0000"/>
          <w:sz w:val="32"/>
          <w:szCs w:val="32"/>
          <w:highlight w:val="yellow"/>
        </w:rPr>
        <w:t>业务系统须</w:t>
      </w:r>
      <w:r>
        <w:rPr>
          <w:rFonts w:hint="eastAsia" w:ascii="仿宋_GB2312" w:hAnsi="仿宋" w:eastAsia="仿宋_GB2312" w:cs="仿宋"/>
          <w:color w:val="FF0000"/>
          <w:sz w:val="32"/>
          <w:szCs w:val="32"/>
          <w:highlight w:val="yellow"/>
        </w:rPr>
        <w:t>按照《政务信息资源目录编制指南》要求完成数据资源目录编制后</w:t>
      </w:r>
      <w:r>
        <w:rPr>
          <w:rFonts w:hint="eastAsia" w:ascii="仿宋_GB2312" w:hAnsi="仿宋" w:eastAsia="仿宋_GB2312" w:cs="仿宋"/>
          <w:color w:val="FF0000"/>
          <w:sz w:val="32"/>
          <w:szCs w:val="32"/>
        </w:rPr>
        <w:t>，</w:t>
      </w:r>
      <w:r>
        <w:rPr>
          <w:rFonts w:ascii="仿宋_GB2312" w:hAnsi="仿宋" w:eastAsia="仿宋_GB2312" w:cs="仿宋"/>
          <w:color w:val="FF0000"/>
          <w:sz w:val="32"/>
          <w:szCs w:val="32"/>
        </w:rPr>
        <w:t>与市信息资源交换平台数据共享对接，提供数据字典，并将业务数据汇集至市数据中心，其中第1</w:t>
      </w:r>
      <w:r>
        <w:rPr>
          <w:rFonts w:hint="eastAsia" w:ascii="仿宋_GB2312" w:hAnsi="仿宋" w:eastAsia="仿宋_GB2312" w:cs="仿宋"/>
          <w:color w:val="FF0000"/>
          <w:sz w:val="32"/>
          <w:szCs w:val="32"/>
        </w:rPr>
        <w:t>0</w:t>
      </w:r>
      <w:r>
        <w:rPr>
          <w:rFonts w:ascii="仿宋_GB2312" w:hAnsi="仿宋" w:eastAsia="仿宋_GB2312" w:cs="仿宋"/>
          <w:color w:val="FF0000"/>
          <w:sz w:val="32"/>
          <w:szCs w:val="32"/>
        </w:rPr>
        <w:t>条、1</w:t>
      </w:r>
      <w:r>
        <w:rPr>
          <w:rFonts w:hint="eastAsia" w:ascii="仿宋_GB2312" w:hAnsi="仿宋" w:eastAsia="仿宋_GB2312" w:cs="仿宋"/>
          <w:color w:val="FF0000"/>
          <w:sz w:val="32"/>
          <w:szCs w:val="32"/>
        </w:rPr>
        <w:t>1</w:t>
      </w:r>
      <w:r>
        <w:rPr>
          <w:rFonts w:ascii="仿宋_GB2312" w:hAnsi="仿宋" w:eastAsia="仿宋_GB2312" w:cs="仿宋"/>
          <w:color w:val="FF0000"/>
          <w:sz w:val="32"/>
          <w:szCs w:val="32"/>
        </w:rPr>
        <w:t xml:space="preserve">条由市数据资源管理局出具书面确认函，并作为验收的必要条件；业务系统进行跨部门数据交换对接必须通过市数据共享交换平台实现。 </w:t>
      </w:r>
    </w:p>
    <w:p>
      <w:pPr>
        <w:widowControl/>
        <w:numPr>
          <w:ilvl w:val="0"/>
          <w:numId w:val="5"/>
        </w:numPr>
        <w:spacing w:line="560" w:lineRule="exact"/>
        <w:ind w:left="0" w:firstLine="640" w:firstLineChars="200"/>
        <w:rPr>
          <w:rFonts w:ascii="仿宋_GB2312" w:hAnsi="仿宋" w:eastAsia="仿宋_GB2312" w:cs="仿宋"/>
          <w:color w:val="FF0000"/>
          <w:sz w:val="32"/>
          <w:szCs w:val="32"/>
        </w:rPr>
      </w:pPr>
      <w:r>
        <w:rPr>
          <w:rFonts w:hint="eastAsia" w:ascii="仿宋_GB2312" w:hAnsi="仿宋" w:eastAsia="仿宋_GB2312" w:cs="仿宋"/>
          <w:color w:val="FF0000"/>
          <w:sz w:val="32"/>
          <w:szCs w:val="32"/>
        </w:rPr>
        <w:t>根据每个项目的实际建设内容，若存在上述注意事项的条款，由监理公司或市数据资源管理局对上述相关要求予以确认，否则项目不予验收。</w:t>
      </w:r>
    </w:p>
    <w:p>
      <w:pPr>
        <w:rPr>
          <w:rStyle w:val="28"/>
          <w:rFonts w:cs="仿宋"/>
          <w:b w:val="0"/>
          <w:sz w:val="32"/>
        </w:rPr>
      </w:pPr>
    </w:p>
    <w:p>
      <w:pPr>
        <w:rPr>
          <w:rStyle w:val="28"/>
          <w:rFonts w:cs="仿宋"/>
          <w:b w:val="0"/>
          <w:sz w:val="32"/>
        </w:rPr>
      </w:pPr>
    </w:p>
    <w:p/>
    <w:sectPr>
      <w:footerReference r:id="rId4" w:type="default"/>
      <w:pgSz w:w="11906" w:h="16838"/>
      <w:pgMar w:top="1440" w:right="1797" w:bottom="1440" w:left="1797" w:header="851" w:footer="992" w:gutter="0"/>
      <w:pgNumType w:start="1"/>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B0604020202020204"/>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fldChar w:fldCharType="begin"/>
    </w:r>
    <w:r>
      <w:instrText xml:space="preserve"> PAGE   \* MERGEFORMAT </w:instrText>
    </w:r>
    <w:r>
      <w:fldChar w:fldCharType="separate"/>
    </w:r>
    <w:r>
      <w:rPr>
        <w:lang w:val="zh-CN"/>
      </w:rPr>
      <w:t>1</w:t>
    </w:r>
    <w: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fldChar w:fldCharType="begin"/>
    </w:r>
    <w:r>
      <w:instrText xml:space="preserve"> PAGE   \* MERGEFORMAT </w:instrText>
    </w:r>
    <w:r>
      <w:fldChar w:fldCharType="separate"/>
    </w:r>
    <w:r>
      <w:rPr>
        <w:lang w:val="zh-CN"/>
      </w:rPr>
      <w:t>9</w:t>
    </w:r>
    <w:r>
      <w:fldChar w:fldCharType="end"/>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F54E2"/>
    <w:multiLevelType w:val="singleLevel"/>
    <w:tmpl w:val="B57F54E2"/>
    <w:lvl w:ilvl="0" w:tentative="0">
      <w:start w:val="2"/>
      <w:numFmt w:val="chineseCounting"/>
      <w:suff w:val="space"/>
      <w:lvlText w:val="第%1章"/>
      <w:lvlJc w:val="left"/>
      <w:rPr>
        <w:rFonts w:hint="eastAsia"/>
      </w:rPr>
    </w:lvl>
  </w:abstractNum>
  <w:abstractNum w:abstractNumId="1">
    <w:nsid w:val="0FF310D5"/>
    <w:multiLevelType w:val="multilevel"/>
    <w:tmpl w:val="0FF310D5"/>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1D306ECF"/>
    <w:multiLevelType w:val="multilevel"/>
    <w:tmpl w:val="1D306ECF"/>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863A1D"/>
    <w:multiLevelType w:val="multilevel"/>
    <w:tmpl w:val="29863A1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8CB356A"/>
    <w:multiLevelType w:val="singleLevel"/>
    <w:tmpl w:val="58CB356A"/>
    <w:lvl w:ilvl="0" w:tentative="0">
      <w:start w:val="1"/>
      <w:numFmt w:val="decimal"/>
      <w:lvlText w:val="%1."/>
      <w:lvlJc w:val="left"/>
      <w:pPr>
        <w:ind w:left="420" w:hanging="420"/>
      </w:pPr>
      <w:rPr>
        <w:rFont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5YjgxYjlmNzhhODkyOTMxNzI2OWEwMzVjMjUyZDcifQ=="/>
  </w:docVars>
  <w:rsids>
    <w:rsidRoot w:val="00650D66"/>
    <w:rsid w:val="00001B91"/>
    <w:rsid w:val="00001BB6"/>
    <w:rsid w:val="00003534"/>
    <w:rsid w:val="00013440"/>
    <w:rsid w:val="00015163"/>
    <w:rsid w:val="000154FD"/>
    <w:rsid w:val="000210B1"/>
    <w:rsid w:val="0002148A"/>
    <w:rsid w:val="000252D6"/>
    <w:rsid w:val="00026E13"/>
    <w:rsid w:val="0003220B"/>
    <w:rsid w:val="000349AF"/>
    <w:rsid w:val="000364DB"/>
    <w:rsid w:val="00041A32"/>
    <w:rsid w:val="0004223C"/>
    <w:rsid w:val="00042A79"/>
    <w:rsid w:val="00045817"/>
    <w:rsid w:val="00046217"/>
    <w:rsid w:val="000503C7"/>
    <w:rsid w:val="00054A40"/>
    <w:rsid w:val="00056DE8"/>
    <w:rsid w:val="00056E7E"/>
    <w:rsid w:val="00061D31"/>
    <w:rsid w:val="00065A50"/>
    <w:rsid w:val="00073839"/>
    <w:rsid w:val="0007449F"/>
    <w:rsid w:val="00075F59"/>
    <w:rsid w:val="00080BEC"/>
    <w:rsid w:val="0008138F"/>
    <w:rsid w:val="00082C76"/>
    <w:rsid w:val="00083053"/>
    <w:rsid w:val="00083F65"/>
    <w:rsid w:val="000840BE"/>
    <w:rsid w:val="00085396"/>
    <w:rsid w:val="00085A64"/>
    <w:rsid w:val="00087306"/>
    <w:rsid w:val="0008765D"/>
    <w:rsid w:val="00087EFA"/>
    <w:rsid w:val="0009299C"/>
    <w:rsid w:val="00096A81"/>
    <w:rsid w:val="0009755B"/>
    <w:rsid w:val="00097701"/>
    <w:rsid w:val="000A4C6B"/>
    <w:rsid w:val="000A6989"/>
    <w:rsid w:val="000B22B7"/>
    <w:rsid w:val="000B34D4"/>
    <w:rsid w:val="000B53F6"/>
    <w:rsid w:val="000B7994"/>
    <w:rsid w:val="000C4BA1"/>
    <w:rsid w:val="000C78BA"/>
    <w:rsid w:val="000C79F5"/>
    <w:rsid w:val="000D13E0"/>
    <w:rsid w:val="000D2133"/>
    <w:rsid w:val="000D3AE9"/>
    <w:rsid w:val="000D5DBD"/>
    <w:rsid w:val="000D6181"/>
    <w:rsid w:val="000E071C"/>
    <w:rsid w:val="000E2FD0"/>
    <w:rsid w:val="000E685D"/>
    <w:rsid w:val="000F67FA"/>
    <w:rsid w:val="000F7695"/>
    <w:rsid w:val="001001F1"/>
    <w:rsid w:val="00100C09"/>
    <w:rsid w:val="00104E66"/>
    <w:rsid w:val="00107BFD"/>
    <w:rsid w:val="00107CE6"/>
    <w:rsid w:val="0011108F"/>
    <w:rsid w:val="00111223"/>
    <w:rsid w:val="00113533"/>
    <w:rsid w:val="00115DAD"/>
    <w:rsid w:val="001210DA"/>
    <w:rsid w:val="0012369E"/>
    <w:rsid w:val="00125904"/>
    <w:rsid w:val="001303E2"/>
    <w:rsid w:val="001355E3"/>
    <w:rsid w:val="00135F01"/>
    <w:rsid w:val="00136928"/>
    <w:rsid w:val="001370F3"/>
    <w:rsid w:val="001371BC"/>
    <w:rsid w:val="00140256"/>
    <w:rsid w:val="0014231D"/>
    <w:rsid w:val="00153284"/>
    <w:rsid w:val="001555FD"/>
    <w:rsid w:val="00155B3D"/>
    <w:rsid w:val="00156801"/>
    <w:rsid w:val="001577AE"/>
    <w:rsid w:val="00157F9E"/>
    <w:rsid w:val="001604AA"/>
    <w:rsid w:val="00161346"/>
    <w:rsid w:val="00165B4A"/>
    <w:rsid w:val="0016600F"/>
    <w:rsid w:val="00180EC7"/>
    <w:rsid w:val="00182033"/>
    <w:rsid w:val="00183124"/>
    <w:rsid w:val="001843BB"/>
    <w:rsid w:val="0018465A"/>
    <w:rsid w:val="00184A50"/>
    <w:rsid w:val="0018657F"/>
    <w:rsid w:val="0018692A"/>
    <w:rsid w:val="00193D0A"/>
    <w:rsid w:val="00195F8F"/>
    <w:rsid w:val="00197152"/>
    <w:rsid w:val="001A0D61"/>
    <w:rsid w:val="001A5B49"/>
    <w:rsid w:val="001A79BD"/>
    <w:rsid w:val="001A7A41"/>
    <w:rsid w:val="001B131D"/>
    <w:rsid w:val="001B1B5F"/>
    <w:rsid w:val="001B1BF4"/>
    <w:rsid w:val="001B6004"/>
    <w:rsid w:val="001B7BD8"/>
    <w:rsid w:val="001C15F1"/>
    <w:rsid w:val="001C3BD3"/>
    <w:rsid w:val="001C3E27"/>
    <w:rsid w:val="001C4FE5"/>
    <w:rsid w:val="001C556A"/>
    <w:rsid w:val="001C5911"/>
    <w:rsid w:val="001D293A"/>
    <w:rsid w:val="001D3639"/>
    <w:rsid w:val="001D41D9"/>
    <w:rsid w:val="001D7E55"/>
    <w:rsid w:val="001E1C3B"/>
    <w:rsid w:val="001E3844"/>
    <w:rsid w:val="001E5152"/>
    <w:rsid w:val="001E5501"/>
    <w:rsid w:val="001E56E0"/>
    <w:rsid w:val="001E56F9"/>
    <w:rsid w:val="001E74EF"/>
    <w:rsid w:val="001F0156"/>
    <w:rsid w:val="001F2253"/>
    <w:rsid w:val="00200E73"/>
    <w:rsid w:val="0020105E"/>
    <w:rsid w:val="00205C91"/>
    <w:rsid w:val="0021134E"/>
    <w:rsid w:val="002132A4"/>
    <w:rsid w:val="00214639"/>
    <w:rsid w:val="002149F0"/>
    <w:rsid w:val="002163DB"/>
    <w:rsid w:val="002177D0"/>
    <w:rsid w:val="002235EA"/>
    <w:rsid w:val="00235D6D"/>
    <w:rsid w:val="0023688A"/>
    <w:rsid w:val="00237668"/>
    <w:rsid w:val="00237F2D"/>
    <w:rsid w:val="002400D3"/>
    <w:rsid w:val="00242FCF"/>
    <w:rsid w:val="00243B94"/>
    <w:rsid w:val="00252016"/>
    <w:rsid w:val="00252692"/>
    <w:rsid w:val="00255CD4"/>
    <w:rsid w:val="00256835"/>
    <w:rsid w:val="0025764A"/>
    <w:rsid w:val="00265400"/>
    <w:rsid w:val="00272CAE"/>
    <w:rsid w:val="00273DF7"/>
    <w:rsid w:val="00277AD7"/>
    <w:rsid w:val="002809E3"/>
    <w:rsid w:val="00280EFD"/>
    <w:rsid w:val="00286917"/>
    <w:rsid w:val="00286CA0"/>
    <w:rsid w:val="00286DD1"/>
    <w:rsid w:val="00287356"/>
    <w:rsid w:val="002919DD"/>
    <w:rsid w:val="0029449F"/>
    <w:rsid w:val="00294E99"/>
    <w:rsid w:val="00294EFA"/>
    <w:rsid w:val="0029530C"/>
    <w:rsid w:val="00296CA8"/>
    <w:rsid w:val="002A2CF2"/>
    <w:rsid w:val="002A2E2E"/>
    <w:rsid w:val="002A39D0"/>
    <w:rsid w:val="002B19D7"/>
    <w:rsid w:val="002B28F9"/>
    <w:rsid w:val="002B32E6"/>
    <w:rsid w:val="002B7064"/>
    <w:rsid w:val="002C30E1"/>
    <w:rsid w:val="002C6091"/>
    <w:rsid w:val="002D3D68"/>
    <w:rsid w:val="002D7AA3"/>
    <w:rsid w:val="002E1A5E"/>
    <w:rsid w:val="002E4515"/>
    <w:rsid w:val="002E5E27"/>
    <w:rsid w:val="002E5EC7"/>
    <w:rsid w:val="002E6910"/>
    <w:rsid w:val="002F202E"/>
    <w:rsid w:val="002F227B"/>
    <w:rsid w:val="00301699"/>
    <w:rsid w:val="00304D3E"/>
    <w:rsid w:val="003073AB"/>
    <w:rsid w:val="00310886"/>
    <w:rsid w:val="00311F81"/>
    <w:rsid w:val="00317267"/>
    <w:rsid w:val="00321970"/>
    <w:rsid w:val="003232D6"/>
    <w:rsid w:val="003252A2"/>
    <w:rsid w:val="00325D35"/>
    <w:rsid w:val="00330A84"/>
    <w:rsid w:val="00331FD2"/>
    <w:rsid w:val="00336533"/>
    <w:rsid w:val="0033665A"/>
    <w:rsid w:val="00336A3E"/>
    <w:rsid w:val="003442AD"/>
    <w:rsid w:val="003454F2"/>
    <w:rsid w:val="003455CA"/>
    <w:rsid w:val="00353B71"/>
    <w:rsid w:val="00356C4C"/>
    <w:rsid w:val="00360434"/>
    <w:rsid w:val="00364983"/>
    <w:rsid w:val="00367273"/>
    <w:rsid w:val="003672FB"/>
    <w:rsid w:val="00367B4B"/>
    <w:rsid w:val="00372A63"/>
    <w:rsid w:val="00374182"/>
    <w:rsid w:val="00374274"/>
    <w:rsid w:val="00383067"/>
    <w:rsid w:val="00384E05"/>
    <w:rsid w:val="003947F0"/>
    <w:rsid w:val="00394A41"/>
    <w:rsid w:val="00394D5F"/>
    <w:rsid w:val="003A707A"/>
    <w:rsid w:val="003B0890"/>
    <w:rsid w:val="003B1029"/>
    <w:rsid w:val="003B1EAF"/>
    <w:rsid w:val="003B468D"/>
    <w:rsid w:val="003B5D8A"/>
    <w:rsid w:val="003B79D2"/>
    <w:rsid w:val="003C06BC"/>
    <w:rsid w:val="003C413F"/>
    <w:rsid w:val="003D1994"/>
    <w:rsid w:val="003D26BE"/>
    <w:rsid w:val="003D358A"/>
    <w:rsid w:val="003D439C"/>
    <w:rsid w:val="003D46C5"/>
    <w:rsid w:val="003D72EB"/>
    <w:rsid w:val="003E04AE"/>
    <w:rsid w:val="003E080B"/>
    <w:rsid w:val="003E2411"/>
    <w:rsid w:val="003E7EBD"/>
    <w:rsid w:val="003F0C05"/>
    <w:rsid w:val="003F0D5E"/>
    <w:rsid w:val="003F2760"/>
    <w:rsid w:val="003F3698"/>
    <w:rsid w:val="003F52DF"/>
    <w:rsid w:val="003F6C8E"/>
    <w:rsid w:val="003F730A"/>
    <w:rsid w:val="00401D8A"/>
    <w:rsid w:val="00404DD9"/>
    <w:rsid w:val="0040693F"/>
    <w:rsid w:val="0041173C"/>
    <w:rsid w:val="004234EB"/>
    <w:rsid w:val="00424D70"/>
    <w:rsid w:val="00431A1B"/>
    <w:rsid w:val="004329A0"/>
    <w:rsid w:val="004334AC"/>
    <w:rsid w:val="00433A0E"/>
    <w:rsid w:val="004356BF"/>
    <w:rsid w:val="0044063F"/>
    <w:rsid w:val="004408AF"/>
    <w:rsid w:val="004449BB"/>
    <w:rsid w:val="00446D67"/>
    <w:rsid w:val="00454D2B"/>
    <w:rsid w:val="00456EAE"/>
    <w:rsid w:val="00460A93"/>
    <w:rsid w:val="00460F0C"/>
    <w:rsid w:val="004616DB"/>
    <w:rsid w:val="00473ABB"/>
    <w:rsid w:val="0047481D"/>
    <w:rsid w:val="004763C9"/>
    <w:rsid w:val="0048166F"/>
    <w:rsid w:val="0048408C"/>
    <w:rsid w:val="00485BBE"/>
    <w:rsid w:val="00491D0D"/>
    <w:rsid w:val="00492989"/>
    <w:rsid w:val="004964BF"/>
    <w:rsid w:val="004A1F41"/>
    <w:rsid w:val="004A4D71"/>
    <w:rsid w:val="004A54E8"/>
    <w:rsid w:val="004B1431"/>
    <w:rsid w:val="004B20D8"/>
    <w:rsid w:val="004B7584"/>
    <w:rsid w:val="004C1E62"/>
    <w:rsid w:val="004C26E5"/>
    <w:rsid w:val="004C2FC5"/>
    <w:rsid w:val="004C336A"/>
    <w:rsid w:val="004C6A75"/>
    <w:rsid w:val="004C6EE3"/>
    <w:rsid w:val="004C727D"/>
    <w:rsid w:val="004D0914"/>
    <w:rsid w:val="004D2989"/>
    <w:rsid w:val="004D39CB"/>
    <w:rsid w:val="004E3F8F"/>
    <w:rsid w:val="004E4CD0"/>
    <w:rsid w:val="004F13DB"/>
    <w:rsid w:val="004F1855"/>
    <w:rsid w:val="004F4DA8"/>
    <w:rsid w:val="004F518C"/>
    <w:rsid w:val="004F7490"/>
    <w:rsid w:val="00500FFC"/>
    <w:rsid w:val="00502582"/>
    <w:rsid w:val="0050611F"/>
    <w:rsid w:val="00512390"/>
    <w:rsid w:val="00515B97"/>
    <w:rsid w:val="00516124"/>
    <w:rsid w:val="00520C0F"/>
    <w:rsid w:val="00523357"/>
    <w:rsid w:val="00523A2D"/>
    <w:rsid w:val="00527AE5"/>
    <w:rsid w:val="00530AFE"/>
    <w:rsid w:val="005310EA"/>
    <w:rsid w:val="0053128F"/>
    <w:rsid w:val="0053137B"/>
    <w:rsid w:val="00537421"/>
    <w:rsid w:val="00537FF6"/>
    <w:rsid w:val="00542950"/>
    <w:rsid w:val="005437AF"/>
    <w:rsid w:val="0054548B"/>
    <w:rsid w:val="00546C05"/>
    <w:rsid w:val="005517B4"/>
    <w:rsid w:val="00553C2D"/>
    <w:rsid w:val="00561EDB"/>
    <w:rsid w:val="00561FAB"/>
    <w:rsid w:val="00563068"/>
    <w:rsid w:val="0056632E"/>
    <w:rsid w:val="00572C0E"/>
    <w:rsid w:val="00576DB5"/>
    <w:rsid w:val="00576DBA"/>
    <w:rsid w:val="005777EE"/>
    <w:rsid w:val="005779CA"/>
    <w:rsid w:val="00581668"/>
    <w:rsid w:val="005816BD"/>
    <w:rsid w:val="00581CB0"/>
    <w:rsid w:val="00584AC1"/>
    <w:rsid w:val="0058636F"/>
    <w:rsid w:val="0058761D"/>
    <w:rsid w:val="005905C8"/>
    <w:rsid w:val="00595E4A"/>
    <w:rsid w:val="00596D3D"/>
    <w:rsid w:val="005A0057"/>
    <w:rsid w:val="005A4EE4"/>
    <w:rsid w:val="005A7E52"/>
    <w:rsid w:val="005B2D38"/>
    <w:rsid w:val="005B323E"/>
    <w:rsid w:val="005C1020"/>
    <w:rsid w:val="005C48DF"/>
    <w:rsid w:val="005C5FE6"/>
    <w:rsid w:val="005D06EC"/>
    <w:rsid w:val="005D26FD"/>
    <w:rsid w:val="005D27A6"/>
    <w:rsid w:val="005E0683"/>
    <w:rsid w:val="005E0914"/>
    <w:rsid w:val="005E4179"/>
    <w:rsid w:val="005E66D3"/>
    <w:rsid w:val="005E7212"/>
    <w:rsid w:val="005F0F5D"/>
    <w:rsid w:val="005F11DF"/>
    <w:rsid w:val="005F12F4"/>
    <w:rsid w:val="005F387B"/>
    <w:rsid w:val="005F4C02"/>
    <w:rsid w:val="005F62F2"/>
    <w:rsid w:val="005F63FA"/>
    <w:rsid w:val="00602319"/>
    <w:rsid w:val="0060286B"/>
    <w:rsid w:val="00604594"/>
    <w:rsid w:val="00604D8E"/>
    <w:rsid w:val="00605852"/>
    <w:rsid w:val="006130C3"/>
    <w:rsid w:val="006141FC"/>
    <w:rsid w:val="0061421D"/>
    <w:rsid w:val="00614C71"/>
    <w:rsid w:val="00617A12"/>
    <w:rsid w:val="00620C38"/>
    <w:rsid w:val="00620D0E"/>
    <w:rsid w:val="00622CD7"/>
    <w:rsid w:val="006314C3"/>
    <w:rsid w:val="00640ADA"/>
    <w:rsid w:val="006419E0"/>
    <w:rsid w:val="00642FA1"/>
    <w:rsid w:val="00650D66"/>
    <w:rsid w:val="006519EB"/>
    <w:rsid w:val="00652D27"/>
    <w:rsid w:val="0065432D"/>
    <w:rsid w:val="00654B1B"/>
    <w:rsid w:val="00656FD7"/>
    <w:rsid w:val="00660A16"/>
    <w:rsid w:val="00660AE0"/>
    <w:rsid w:val="006613ED"/>
    <w:rsid w:val="006630B3"/>
    <w:rsid w:val="006671D2"/>
    <w:rsid w:val="006758F6"/>
    <w:rsid w:val="006774E3"/>
    <w:rsid w:val="00686926"/>
    <w:rsid w:val="0069063F"/>
    <w:rsid w:val="006B1049"/>
    <w:rsid w:val="006B26C4"/>
    <w:rsid w:val="006C5E3F"/>
    <w:rsid w:val="006D1B1A"/>
    <w:rsid w:val="006D1D2E"/>
    <w:rsid w:val="006D4C5A"/>
    <w:rsid w:val="006D4F1B"/>
    <w:rsid w:val="006D580C"/>
    <w:rsid w:val="006D7C8E"/>
    <w:rsid w:val="006E29C1"/>
    <w:rsid w:val="006E353B"/>
    <w:rsid w:val="006E3C2B"/>
    <w:rsid w:val="006E70B4"/>
    <w:rsid w:val="006F2377"/>
    <w:rsid w:val="006F2DBB"/>
    <w:rsid w:val="006F39AE"/>
    <w:rsid w:val="006F524C"/>
    <w:rsid w:val="00701288"/>
    <w:rsid w:val="0070129D"/>
    <w:rsid w:val="007077ED"/>
    <w:rsid w:val="00710395"/>
    <w:rsid w:val="00715346"/>
    <w:rsid w:val="00725AB6"/>
    <w:rsid w:val="0072721C"/>
    <w:rsid w:val="00734FDA"/>
    <w:rsid w:val="0073768C"/>
    <w:rsid w:val="00741182"/>
    <w:rsid w:val="00742E41"/>
    <w:rsid w:val="00744872"/>
    <w:rsid w:val="00744F68"/>
    <w:rsid w:val="00744F72"/>
    <w:rsid w:val="007471D2"/>
    <w:rsid w:val="00751EE6"/>
    <w:rsid w:val="00753E0E"/>
    <w:rsid w:val="00755185"/>
    <w:rsid w:val="00755EA9"/>
    <w:rsid w:val="0075781F"/>
    <w:rsid w:val="00761255"/>
    <w:rsid w:val="00764F00"/>
    <w:rsid w:val="00766125"/>
    <w:rsid w:val="007703EA"/>
    <w:rsid w:val="007710B5"/>
    <w:rsid w:val="00771C2E"/>
    <w:rsid w:val="00772CF3"/>
    <w:rsid w:val="00780055"/>
    <w:rsid w:val="007807D2"/>
    <w:rsid w:val="00783F13"/>
    <w:rsid w:val="00784053"/>
    <w:rsid w:val="00784640"/>
    <w:rsid w:val="007933AA"/>
    <w:rsid w:val="00793950"/>
    <w:rsid w:val="007A14C9"/>
    <w:rsid w:val="007A2600"/>
    <w:rsid w:val="007A4E69"/>
    <w:rsid w:val="007A782B"/>
    <w:rsid w:val="007A7FD1"/>
    <w:rsid w:val="007B1C6C"/>
    <w:rsid w:val="007B348E"/>
    <w:rsid w:val="007B4234"/>
    <w:rsid w:val="007B4E8A"/>
    <w:rsid w:val="007B5670"/>
    <w:rsid w:val="007B5CB6"/>
    <w:rsid w:val="007C02A9"/>
    <w:rsid w:val="007C2000"/>
    <w:rsid w:val="007C2674"/>
    <w:rsid w:val="007C34E7"/>
    <w:rsid w:val="007C55C6"/>
    <w:rsid w:val="007C673F"/>
    <w:rsid w:val="007C7A68"/>
    <w:rsid w:val="007D14E7"/>
    <w:rsid w:val="007D4580"/>
    <w:rsid w:val="007D45AA"/>
    <w:rsid w:val="007E1EBB"/>
    <w:rsid w:val="007E4054"/>
    <w:rsid w:val="007F0EEE"/>
    <w:rsid w:val="007F58CF"/>
    <w:rsid w:val="007F774A"/>
    <w:rsid w:val="008017D5"/>
    <w:rsid w:val="00801AA6"/>
    <w:rsid w:val="0080467A"/>
    <w:rsid w:val="00810186"/>
    <w:rsid w:val="008105D2"/>
    <w:rsid w:val="00810E60"/>
    <w:rsid w:val="00814EA4"/>
    <w:rsid w:val="008166A2"/>
    <w:rsid w:val="0081770E"/>
    <w:rsid w:val="00826BB2"/>
    <w:rsid w:val="00826EBA"/>
    <w:rsid w:val="00830DD1"/>
    <w:rsid w:val="00834CC3"/>
    <w:rsid w:val="0083657E"/>
    <w:rsid w:val="00840573"/>
    <w:rsid w:val="00842A61"/>
    <w:rsid w:val="0084701C"/>
    <w:rsid w:val="00850574"/>
    <w:rsid w:val="008512B4"/>
    <w:rsid w:val="00852013"/>
    <w:rsid w:val="0085738C"/>
    <w:rsid w:val="00865313"/>
    <w:rsid w:val="00867F24"/>
    <w:rsid w:val="008701BD"/>
    <w:rsid w:val="0087396C"/>
    <w:rsid w:val="00876145"/>
    <w:rsid w:val="00877FB7"/>
    <w:rsid w:val="00883622"/>
    <w:rsid w:val="0088514A"/>
    <w:rsid w:val="00886155"/>
    <w:rsid w:val="00891117"/>
    <w:rsid w:val="00893DED"/>
    <w:rsid w:val="0089695A"/>
    <w:rsid w:val="00897A28"/>
    <w:rsid w:val="008B0FDA"/>
    <w:rsid w:val="008B2CD7"/>
    <w:rsid w:val="008B2E0C"/>
    <w:rsid w:val="008B3770"/>
    <w:rsid w:val="008B5F7E"/>
    <w:rsid w:val="008C1677"/>
    <w:rsid w:val="008C59D5"/>
    <w:rsid w:val="008D13E9"/>
    <w:rsid w:val="008D34AA"/>
    <w:rsid w:val="008E5F7D"/>
    <w:rsid w:val="008E6C72"/>
    <w:rsid w:val="008F34C1"/>
    <w:rsid w:val="008F4CE9"/>
    <w:rsid w:val="008F5744"/>
    <w:rsid w:val="008F6E17"/>
    <w:rsid w:val="009004BD"/>
    <w:rsid w:val="00901326"/>
    <w:rsid w:val="00901C79"/>
    <w:rsid w:val="00902981"/>
    <w:rsid w:val="0090391E"/>
    <w:rsid w:val="009047FA"/>
    <w:rsid w:val="009054CB"/>
    <w:rsid w:val="0090575B"/>
    <w:rsid w:val="009064C1"/>
    <w:rsid w:val="00906ADA"/>
    <w:rsid w:val="0091660E"/>
    <w:rsid w:val="00923B27"/>
    <w:rsid w:val="00924623"/>
    <w:rsid w:val="00924A1F"/>
    <w:rsid w:val="009263D9"/>
    <w:rsid w:val="0093275D"/>
    <w:rsid w:val="00932DE5"/>
    <w:rsid w:val="0093446D"/>
    <w:rsid w:val="009353DE"/>
    <w:rsid w:val="00935772"/>
    <w:rsid w:val="00935FCA"/>
    <w:rsid w:val="00941B3F"/>
    <w:rsid w:val="00944DDE"/>
    <w:rsid w:val="009514E3"/>
    <w:rsid w:val="00952871"/>
    <w:rsid w:val="00954D73"/>
    <w:rsid w:val="009563C4"/>
    <w:rsid w:val="009731B4"/>
    <w:rsid w:val="009937B2"/>
    <w:rsid w:val="00997D12"/>
    <w:rsid w:val="009A1064"/>
    <w:rsid w:val="009A53F1"/>
    <w:rsid w:val="009B43E7"/>
    <w:rsid w:val="009C0450"/>
    <w:rsid w:val="009C05E4"/>
    <w:rsid w:val="009C11A2"/>
    <w:rsid w:val="009C13E1"/>
    <w:rsid w:val="009C17F5"/>
    <w:rsid w:val="009C3309"/>
    <w:rsid w:val="009C5F92"/>
    <w:rsid w:val="009D0045"/>
    <w:rsid w:val="009D6F88"/>
    <w:rsid w:val="009E3C0C"/>
    <w:rsid w:val="009E40B1"/>
    <w:rsid w:val="009F3592"/>
    <w:rsid w:val="009F5D31"/>
    <w:rsid w:val="009F5FBF"/>
    <w:rsid w:val="00A0433A"/>
    <w:rsid w:val="00A045DA"/>
    <w:rsid w:val="00A04F7D"/>
    <w:rsid w:val="00A14B98"/>
    <w:rsid w:val="00A14D81"/>
    <w:rsid w:val="00A15DAE"/>
    <w:rsid w:val="00A21C05"/>
    <w:rsid w:val="00A21DBD"/>
    <w:rsid w:val="00A25565"/>
    <w:rsid w:val="00A2578F"/>
    <w:rsid w:val="00A33155"/>
    <w:rsid w:val="00A335D5"/>
    <w:rsid w:val="00A36ED1"/>
    <w:rsid w:val="00A37796"/>
    <w:rsid w:val="00A47E46"/>
    <w:rsid w:val="00A534DF"/>
    <w:rsid w:val="00A536F1"/>
    <w:rsid w:val="00A5581D"/>
    <w:rsid w:val="00A61A2C"/>
    <w:rsid w:val="00A62026"/>
    <w:rsid w:val="00A667A1"/>
    <w:rsid w:val="00A671BB"/>
    <w:rsid w:val="00A67D98"/>
    <w:rsid w:val="00A70AD7"/>
    <w:rsid w:val="00A73F9A"/>
    <w:rsid w:val="00A74019"/>
    <w:rsid w:val="00A7778F"/>
    <w:rsid w:val="00A81AAA"/>
    <w:rsid w:val="00A81CCF"/>
    <w:rsid w:val="00A833D2"/>
    <w:rsid w:val="00A856FE"/>
    <w:rsid w:val="00A86C7D"/>
    <w:rsid w:val="00A874DC"/>
    <w:rsid w:val="00A911EF"/>
    <w:rsid w:val="00A937E2"/>
    <w:rsid w:val="00A9474C"/>
    <w:rsid w:val="00A96354"/>
    <w:rsid w:val="00A96633"/>
    <w:rsid w:val="00AB0E3C"/>
    <w:rsid w:val="00AB1429"/>
    <w:rsid w:val="00AC17B5"/>
    <w:rsid w:val="00AC19A9"/>
    <w:rsid w:val="00AD1AA2"/>
    <w:rsid w:val="00AD2EF9"/>
    <w:rsid w:val="00AE0AC6"/>
    <w:rsid w:val="00AE2336"/>
    <w:rsid w:val="00AE253D"/>
    <w:rsid w:val="00AE553C"/>
    <w:rsid w:val="00AE56C4"/>
    <w:rsid w:val="00AE5FAD"/>
    <w:rsid w:val="00AF09CF"/>
    <w:rsid w:val="00AF2EFB"/>
    <w:rsid w:val="00AF3C5D"/>
    <w:rsid w:val="00B00DBE"/>
    <w:rsid w:val="00B02C4A"/>
    <w:rsid w:val="00B02E24"/>
    <w:rsid w:val="00B04DBB"/>
    <w:rsid w:val="00B0695B"/>
    <w:rsid w:val="00B12050"/>
    <w:rsid w:val="00B2342A"/>
    <w:rsid w:val="00B25141"/>
    <w:rsid w:val="00B3288C"/>
    <w:rsid w:val="00B40159"/>
    <w:rsid w:val="00B41A5A"/>
    <w:rsid w:val="00B47A6B"/>
    <w:rsid w:val="00B47CAE"/>
    <w:rsid w:val="00B51AA4"/>
    <w:rsid w:val="00B51AD0"/>
    <w:rsid w:val="00B53909"/>
    <w:rsid w:val="00B61816"/>
    <w:rsid w:val="00B66E9B"/>
    <w:rsid w:val="00B7056B"/>
    <w:rsid w:val="00B715B9"/>
    <w:rsid w:val="00B721B4"/>
    <w:rsid w:val="00B74202"/>
    <w:rsid w:val="00B819E3"/>
    <w:rsid w:val="00B82035"/>
    <w:rsid w:val="00B829DF"/>
    <w:rsid w:val="00B96DEF"/>
    <w:rsid w:val="00BA2B2C"/>
    <w:rsid w:val="00BA4191"/>
    <w:rsid w:val="00BA5DC5"/>
    <w:rsid w:val="00BA7E5E"/>
    <w:rsid w:val="00BB2496"/>
    <w:rsid w:val="00BB4DCE"/>
    <w:rsid w:val="00BC0FAF"/>
    <w:rsid w:val="00BC170B"/>
    <w:rsid w:val="00BC497B"/>
    <w:rsid w:val="00BC4B29"/>
    <w:rsid w:val="00BC5683"/>
    <w:rsid w:val="00BC5FE5"/>
    <w:rsid w:val="00BC60C6"/>
    <w:rsid w:val="00BD03FE"/>
    <w:rsid w:val="00BD434E"/>
    <w:rsid w:val="00BD44AB"/>
    <w:rsid w:val="00BD5D0E"/>
    <w:rsid w:val="00BD5DB6"/>
    <w:rsid w:val="00BD7E2C"/>
    <w:rsid w:val="00BD7FE4"/>
    <w:rsid w:val="00BE5F5E"/>
    <w:rsid w:val="00BE6266"/>
    <w:rsid w:val="00BE720E"/>
    <w:rsid w:val="00BF3729"/>
    <w:rsid w:val="00BF3836"/>
    <w:rsid w:val="00BF7E07"/>
    <w:rsid w:val="00C000DF"/>
    <w:rsid w:val="00C02AC4"/>
    <w:rsid w:val="00C04AAA"/>
    <w:rsid w:val="00C06B1A"/>
    <w:rsid w:val="00C06F04"/>
    <w:rsid w:val="00C1223C"/>
    <w:rsid w:val="00C15B37"/>
    <w:rsid w:val="00C15D16"/>
    <w:rsid w:val="00C16ED8"/>
    <w:rsid w:val="00C23238"/>
    <w:rsid w:val="00C2668D"/>
    <w:rsid w:val="00C32450"/>
    <w:rsid w:val="00C410AD"/>
    <w:rsid w:val="00C41E9F"/>
    <w:rsid w:val="00C426F6"/>
    <w:rsid w:val="00C42E91"/>
    <w:rsid w:val="00C43354"/>
    <w:rsid w:val="00C515B3"/>
    <w:rsid w:val="00C546F8"/>
    <w:rsid w:val="00C55CE8"/>
    <w:rsid w:val="00C63582"/>
    <w:rsid w:val="00C65CB1"/>
    <w:rsid w:val="00C65F62"/>
    <w:rsid w:val="00C66E92"/>
    <w:rsid w:val="00C70203"/>
    <w:rsid w:val="00C72597"/>
    <w:rsid w:val="00C74073"/>
    <w:rsid w:val="00C74915"/>
    <w:rsid w:val="00C750E5"/>
    <w:rsid w:val="00C77197"/>
    <w:rsid w:val="00C83FF3"/>
    <w:rsid w:val="00C903E9"/>
    <w:rsid w:val="00C90452"/>
    <w:rsid w:val="00C91289"/>
    <w:rsid w:val="00C91C86"/>
    <w:rsid w:val="00C9402D"/>
    <w:rsid w:val="00CB16FC"/>
    <w:rsid w:val="00CB2A5D"/>
    <w:rsid w:val="00CB2F8D"/>
    <w:rsid w:val="00CB33D0"/>
    <w:rsid w:val="00CC23A6"/>
    <w:rsid w:val="00CC6AB9"/>
    <w:rsid w:val="00CD0067"/>
    <w:rsid w:val="00CD690F"/>
    <w:rsid w:val="00CE4398"/>
    <w:rsid w:val="00CF008D"/>
    <w:rsid w:val="00CF019B"/>
    <w:rsid w:val="00CF04AB"/>
    <w:rsid w:val="00CF4E37"/>
    <w:rsid w:val="00CF7FF1"/>
    <w:rsid w:val="00D01237"/>
    <w:rsid w:val="00D03484"/>
    <w:rsid w:val="00D04136"/>
    <w:rsid w:val="00D04F21"/>
    <w:rsid w:val="00D0508B"/>
    <w:rsid w:val="00D051BF"/>
    <w:rsid w:val="00D05A83"/>
    <w:rsid w:val="00D077C9"/>
    <w:rsid w:val="00D11359"/>
    <w:rsid w:val="00D208C5"/>
    <w:rsid w:val="00D301D5"/>
    <w:rsid w:val="00D30718"/>
    <w:rsid w:val="00D3737D"/>
    <w:rsid w:val="00D37F92"/>
    <w:rsid w:val="00D42BB5"/>
    <w:rsid w:val="00D430AD"/>
    <w:rsid w:val="00D45470"/>
    <w:rsid w:val="00D5394E"/>
    <w:rsid w:val="00D61F8E"/>
    <w:rsid w:val="00D6318E"/>
    <w:rsid w:val="00D7038D"/>
    <w:rsid w:val="00D70A2C"/>
    <w:rsid w:val="00D71861"/>
    <w:rsid w:val="00D72FA2"/>
    <w:rsid w:val="00D75EFD"/>
    <w:rsid w:val="00D76BC5"/>
    <w:rsid w:val="00D81837"/>
    <w:rsid w:val="00D85BA3"/>
    <w:rsid w:val="00D86BDB"/>
    <w:rsid w:val="00D902FA"/>
    <w:rsid w:val="00D95915"/>
    <w:rsid w:val="00DA7CA7"/>
    <w:rsid w:val="00DB2E37"/>
    <w:rsid w:val="00DB64B6"/>
    <w:rsid w:val="00DC1C45"/>
    <w:rsid w:val="00DC437C"/>
    <w:rsid w:val="00DC4C3C"/>
    <w:rsid w:val="00DC5B25"/>
    <w:rsid w:val="00DC6703"/>
    <w:rsid w:val="00DD0B2A"/>
    <w:rsid w:val="00DD389F"/>
    <w:rsid w:val="00DD4BC0"/>
    <w:rsid w:val="00DD5408"/>
    <w:rsid w:val="00DD60A8"/>
    <w:rsid w:val="00DD6A13"/>
    <w:rsid w:val="00DE155A"/>
    <w:rsid w:val="00DE56BC"/>
    <w:rsid w:val="00DE789E"/>
    <w:rsid w:val="00DF1B2D"/>
    <w:rsid w:val="00DF2A00"/>
    <w:rsid w:val="00DF48B2"/>
    <w:rsid w:val="00DF73C8"/>
    <w:rsid w:val="00E043FD"/>
    <w:rsid w:val="00E121DC"/>
    <w:rsid w:val="00E12D35"/>
    <w:rsid w:val="00E17270"/>
    <w:rsid w:val="00E206E5"/>
    <w:rsid w:val="00E21E7D"/>
    <w:rsid w:val="00E27BCB"/>
    <w:rsid w:val="00E312C5"/>
    <w:rsid w:val="00E321C2"/>
    <w:rsid w:val="00E336FE"/>
    <w:rsid w:val="00E35B11"/>
    <w:rsid w:val="00E37FB3"/>
    <w:rsid w:val="00E41481"/>
    <w:rsid w:val="00E45F69"/>
    <w:rsid w:val="00E52D6B"/>
    <w:rsid w:val="00E530CC"/>
    <w:rsid w:val="00E54065"/>
    <w:rsid w:val="00E55912"/>
    <w:rsid w:val="00E55D6D"/>
    <w:rsid w:val="00E56D72"/>
    <w:rsid w:val="00E63AC9"/>
    <w:rsid w:val="00E63B74"/>
    <w:rsid w:val="00E67288"/>
    <w:rsid w:val="00E73721"/>
    <w:rsid w:val="00E74E49"/>
    <w:rsid w:val="00E75B75"/>
    <w:rsid w:val="00E75E1C"/>
    <w:rsid w:val="00E83F39"/>
    <w:rsid w:val="00E84087"/>
    <w:rsid w:val="00E84E10"/>
    <w:rsid w:val="00E90879"/>
    <w:rsid w:val="00E91699"/>
    <w:rsid w:val="00E92B30"/>
    <w:rsid w:val="00E93D47"/>
    <w:rsid w:val="00EA11A4"/>
    <w:rsid w:val="00EA19C0"/>
    <w:rsid w:val="00EA1FC1"/>
    <w:rsid w:val="00EA3480"/>
    <w:rsid w:val="00EB3A73"/>
    <w:rsid w:val="00EB5B3C"/>
    <w:rsid w:val="00EC1DB6"/>
    <w:rsid w:val="00EC2689"/>
    <w:rsid w:val="00EC43E4"/>
    <w:rsid w:val="00EC7197"/>
    <w:rsid w:val="00EC7DE4"/>
    <w:rsid w:val="00ED1D08"/>
    <w:rsid w:val="00ED7867"/>
    <w:rsid w:val="00EE1158"/>
    <w:rsid w:val="00EE7B67"/>
    <w:rsid w:val="00EF2716"/>
    <w:rsid w:val="00EF536B"/>
    <w:rsid w:val="00EF7C23"/>
    <w:rsid w:val="00F017F8"/>
    <w:rsid w:val="00F01875"/>
    <w:rsid w:val="00F018FC"/>
    <w:rsid w:val="00F01C32"/>
    <w:rsid w:val="00F03CE4"/>
    <w:rsid w:val="00F06A94"/>
    <w:rsid w:val="00F06E5F"/>
    <w:rsid w:val="00F108EB"/>
    <w:rsid w:val="00F10F35"/>
    <w:rsid w:val="00F11A49"/>
    <w:rsid w:val="00F157DB"/>
    <w:rsid w:val="00F17A19"/>
    <w:rsid w:val="00F17E7D"/>
    <w:rsid w:val="00F229AB"/>
    <w:rsid w:val="00F24F03"/>
    <w:rsid w:val="00F2650C"/>
    <w:rsid w:val="00F275F6"/>
    <w:rsid w:val="00F31AEE"/>
    <w:rsid w:val="00F31E9A"/>
    <w:rsid w:val="00F326DA"/>
    <w:rsid w:val="00F33581"/>
    <w:rsid w:val="00F37921"/>
    <w:rsid w:val="00F37CE1"/>
    <w:rsid w:val="00F4134F"/>
    <w:rsid w:val="00F42631"/>
    <w:rsid w:val="00F43560"/>
    <w:rsid w:val="00F43A92"/>
    <w:rsid w:val="00F51C20"/>
    <w:rsid w:val="00F5572D"/>
    <w:rsid w:val="00F55CF3"/>
    <w:rsid w:val="00F63EBA"/>
    <w:rsid w:val="00F64D1D"/>
    <w:rsid w:val="00F65BC4"/>
    <w:rsid w:val="00F66A6C"/>
    <w:rsid w:val="00F70601"/>
    <w:rsid w:val="00F72E82"/>
    <w:rsid w:val="00F73706"/>
    <w:rsid w:val="00F75D43"/>
    <w:rsid w:val="00F762FF"/>
    <w:rsid w:val="00F77E9A"/>
    <w:rsid w:val="00F80771"/>
    <w:rsid w:val="00F8086A"/>
    <w:rsid w:val="00F82597"/>
    <w:rsid w:val="00F8271C"/>
    <w:rsid w:val="00F83808"/>
    <w:rsid w:val="00F8499B"/>
    <w:rsid w:val="00F854CF"/>
    <w:rsid w:val="00F856D7"/>
    <w:rsid w:val="00F858A1"/>
    <w:rsid w:val="00F908DF"/>
    <w:rsid w:val="00F93E58"/>
    <w:rsid w:val="00F947A0"/>
    <w:rsid w:val="00F9589C"/>
    <w:rsid w:val="00F97126"/>
    <w:rsid w:val="00F974FE"/>
    <w:rsid w:val="00FA0079"/>
    <w:rsid w:val="00FA1283"/>
    <w:rsid w:val="00FA29FE"/>
    <w:rsid w:val="00FA5D47"/>
    <w:rsid w:val="00FB09C7"/>
    <w:rsid w:val="00FB5E9F"/>
    <w:rsid w:val="00FB6CFC"/>
    <w:rsid w:val="00FB77DE"/>
    <w:rsid w:val="00FC02AA"/>
    <w:rsid w:val="00FC29C0"/>
    <w:rsid w:val="00FC5C48"/>
    <w:rsid w:val="00FC7D19"/>
    <w:rsid w:val="00FD2118"/>
    <w:rsid w:val="00FD476F"/>
    <w:rsid w:val="00FD7288"/>
    <w:rsid w:val="00FE147A"/>
    <w:rsid w:val="00FE579C"/>
    <w:rsid w:val="00FF521E"/>
    <w:rsid w:val="00FF780F"/>
    <w:rsid w:val="010F4D4C"/>
    <w:rsid w:val="01320784"/>
    <w:rsid w:val="01345E86"/>
    <w:rsid w:val="0253085C"/>
    <w:rsid w:val="02B04479"/>
    <w:rsid w:val="02BB7654"/>
    <w:rsid w:val="02BF1210"/>
    <w:rsid w:val="03610A19"/>
    <w:rsid w:val="036EC4FE"/>
    <w:rsid w:val="03707D47"/>
    <w:rsid w:val="039F62FF"/>
    <w:rsid w:val="03B42A21"/>
    <w:rsid w:val="03F417BD"/>
    <w:rsid w:val="0493524A"/>
    <w:rsid w:val="04A113A5"/>
    <w:rsid w:val="05127501"/>
    <w:rsid w:val="05497B72"/>
    <w:rsid w:val="055E085F"/>
    <w:rsid w:val="058F102E"/>
    <w:rsid w:val="06AE44CA"/>
    <w:rsid w:val="074264EE"/>
    <w:rsid w:val="07514512"/>
    <w:rsid w:val="07594AC9"/>
    <w:rsid w:val="07847DD5"/>
    <w:rsid w:val="07F74CA0"/>
    <w:rsid w:val="08454F9D"/>
    <w:rsid w:val="08E92820"/>
    <w:rsid w:val="0921628F"/>
    <w:rsid w:val="0A033962"/>
    <w:rsid w:val="0A62291C"/>
    <w:rsid w:val="0AB34389"/>
    <w:rsid w:val="0AFD1714"/>
    <w:rsid w:val="0B154BBD"/>
    <w:rsid w:val="0B2A7527"/>
    <w:rsid w:val="0BBA1DB6"/>
    <w:rsid w:val="0BEE61D9"/>
    <w:rsid w:val="0C175C4A"/>
    <w:rsid w:val="0C3D65AB"/>
    <w:rsid w:val="0CA220E3"/>
    <w:rsid w:val="0CAC763D"/>
    <w:rsid w:val="0CE96B39"/>
    <w:rsid w:val="0CF10C4B"/>
    <w:rsid w:val="0D766925"/>
    <w:rsid w:val="0DC02D07"/>
    <w:rsid w:val="0E05748E"/>
    <w:rsid w:val="0E1C2936"/>
    <w:rsid w:val="0E1E28D8"/>
    <w:rsid w:val="0E220FBD"/>
    <w:rsid w:val="0F2A41F4"/>
    <w:rsid w:val="0F5C5168"/>
    <w:rsid w:val="0F7B24F3"/>
    <w:rsid w:val="0F9156A9"/>
    <w:rsid w:val="0FA20284"/>
    <w:rsid w:val="0FB57FB7"/>
    <w:rsid w:val="0FC151E5"/>
    <w:rsid w:val="10357F7A"/>
    <w:rsid w:val="10825733"/>
    <w:rsid w:val="10D23A80"/>
    <w:rsid w:val="11090328"/>
    <w:rsid w:val="11A3168F"/>
    <w:rsid w:val="11AC48FD"/>
    <w:rsid w:val="122A215C"/>
    <w:rsid w:val="12332A6C"/>
    <w:rsid w:val="12355F6F"/>
    <w:rsid w:val="124E0780"/>
    <w:rsid w:val="12787CDD"/>
    <w:rsid w:val="12DF548B"/>
    <w:rsid w:val="12FF5637"/>
    <w:rsid w:val="137B7B63"/>
    <w:rsid w:val="137D734F"/>
    <w:rsid w:val="143D6A37"/>
    <w:rsid w:val="1447431C"/>
    <w:rsid w:val="14853E55"/>
    <w:rsid w:val="14935A4E"/>
    <w:rsid w:val="14A46FED"/>
    <w:rsid w:val="14DC6A12"/>
    <w:rsid w:val="15065D8D"/>
    <w:rsid w:val="156310D5"/>
    <w:rsid w:val="156E3374"/>
    <w:rsid w:val="1581014A"/>
    <w:rsid w:val="15B6012F"/>
    <w:rsid w:val="16111742"/>
    <w:rsid w:val="16361DBB"/>
    <w:rsid w:val="16BA2E55"/>
    <w:rsid w:val="16E00B16"/>
    <w:rsid w:val="16FF3949"/>
    <w:rsid w:val="174B01C5"/>
    <w:rsid w:val="17C31108"/>
    <w:rsid w:val="181360DF"/>
    <w:rsid w:val="18220228"/>
    <w:rsid w:val="18D342F5"/>
    <w:rsid w:val="19132869"/>
    <w:rsid w:val="192148C8"/>
    <w:rsid w:val="1940517D"/>
    <w:rsid w:val="19464B08"/>
    <w:rsid w:val="195B20C2"/>
    <w:rsid w:val="1A306C84"/>
    <w:rsid w:val="1A355733"/>
    <w:rsid w:val="1A78085A"/>
    <w:rsid w:val="1A7A4370"/>
    <w:rsid w:val="1AC93C61"/>
    <w:rsid w:val="1B1A56ED"/>
    <w:rsid w:val="1B3B767A"/>
    <w:rsid w:val="1B5A1DDD"/>
    <w:rsid w:val="1C0358BF"/>
    <w:rsid w:val="1C3B76F4"/>
    <w:rsid w:val="1CAB5FB6"/>
    <w:rsid w:val="1CC51D52"/>
    <w:rsid w:val="1CDA2465"/>
    <w:rsid w:val="1D3821BA"/>
    <w:rsid w:val="1D4A3A1E"/>
    <w:rsid w:val="1D797D76"/>
    <w:rsid w:val="1DB41DC8"/>
    <w:rsid w:val="1E3671D2"/>
    <w:rsid w:val="1EA60457"/>
    <w:rsid w:val="1EAF32E5"/>
    <w:rsid w:val="1EB37DB8"/>
    <w:rsid w:val="1EE11C06"/>
    <w:rsid w:val="1F5E7C06"/>
    <w:rsid w:val="1FCE373D"/>
    <w:rsid w:val="1FF37581"/>
    <w:rsid w:val="20C81D00"/>
    <w:rsid w:val="20EB0691"/>
    <w:rsid w:val="21372B61"/>
    <w:rsid w:val="213F3B84"/>
    <w:rsid w:val="218E2065"/>
    <w:rsid w:val="228160EB"/>
    <w:rsid w:val="22BF3A8F"/>
    <w:rsid w:val="22FB042D"/>
    <w:rsid w:val="233F7861"/>
    <w:rsid w:val="23825C14"/>
    <w:rsid w:val="23FF16C1"/>
    <w:rsid w:val="248A7DB1"/>
    <w:rsid w:val="2490178C"/>
    <w:rsid w:val="25656D85"/>
    <w:rsid w:val="25B4606C"/>
    <w:rsid w:val="25BC7BF5"/>
    <w:rsid w:val="25CB7C36"/>
    <w:rsid w:val="25DE61D9"/>
    <w:rsid w:val="261C4796"/>
    <w:rsid w:val="263E274C"/>
    <w:rsid w:val="266A5CE4"/>
    <w:rsid w:val="26F30F76"/>
    <w:rsid w:val="2759091B"/>
    <w:rsid w:val="27AF712B"/>
    <w:rsid w:val="27BE3310"/>
    <w:rsid w:val="27E3453A"/>
    <w:rsid w:val="28EF1CB6"/>
    <w:rsid w:val="291A0012"/>
    <w:rsid w:val="29496ECC"/>
    <w:rsid w:val="29AD63FE"/>
    <w:rsid w:val="2A24682F"/>
    <w:rsid w:val="2A83594F"/>
    <w:rsid w:val="2A8C6E7F"/>
    <w:rsid w:val="2AA94AC3"/>
    <w:rsid w:val="2AB639D1"/>
    <w:rsid w:val="2AC01F31"/>
    <w:rsid w:val="2B281138"/>
    <w:rsid w:val="2B6170ED"/>
    <w:rsid w:val="2BBD6C0E"/>
    <w:rsid w:val="2BCB62D0"/>
    <w:rsid w:val="2C0F50D6"/>
    <w:rsid w:val="2C743E31"/>
    <w:rsid w:val="2CE960BE"/>
    <w:rsid w:val="2D536270"/>
    <w:rsid w:val="2D6D2084"/>
    <w:rsid w:val="2D8256DD"/>
    <w:rsid w:val="2D8B7E46"/>
    <w:rsid w:val="2D994BDD"/>
    <w:rsid w:val="2DDD5473"/>
    <w:rsid w:val="2E2606E2"/>
    <w:rsid w:val="2E4E51F1"/>
    <w:rsid w:val="2E7013BD"/>
    <w:rsid w:val="2F110F46"/>
    <w:rsid w:val="2F3D2AE7"/>
    <w:rsid w:val="2F90640E"/>
    <w:rsid w:val="2F906477"/>
    <w:rsid w:val="3012656A"/>
    <w:rsid w:val="302D3C34"/>
    <w:rsid w:val="30444D13"/>
    <w:rsid w:val="306E7E7A"/>
    <w:rsid w:val="30A070D3"/>
    <w:rsid w:val="31060FD9"/>
    <w:rsid w:val="312F6D42"/>
    <w:rsid w:val="313A4D80"/>
    <w:rsid w:val="31673F8C"/>
    <w:rsid w:val="31A0730F"/>
    <w:rsid w:val="31C57236"/>
    <w:rsid w:val="3200656A"/>
    <w:rsid w:val="320A1F29"/>
    <w:rsid w:val="323352EB"/>
    <w:rsid w:val="32797FDE"/>
    <w:rsid w:val="33990E33"/>
    <w:rsid w:val="339A263A"/>
    <w:rsid w:val="33A5624D"/>
    <w:rsid w:val="33B05ADC"/>
    <w:rsid w:val="33CA4B67"/>
    <w:rsid w:val="341C5A95"/>
    <w:rsid w:val="34785BFC"/>
    <w:rsid w:val="34FB43FB"/>
    <w:rsid w:val="35634051"/>
    <w:rsid w:val="35FF0824"/>
    <w:rsid w:val="36191ECF"/>
    <w:rsid w:val="36271DE8"/>
    <w:rsid w:val="363F164C"/>
    <w:rsid w:val="36E53230"/>
    <w:rsid w:val="36E64CFD"/>
    <w:rsid w:val="36F70D2D"/>
    <w:rsid w:val="38DC2781"/>
    <w:rsid w:val="38EC3207"/>
    <w:rsid w:val="39CF761D"/>
    <w:rsid w:val="3A895361"/>
    <w:rsid w:val="3AAA11CD"/>
    <w:rsid w:val="3ADC2B9D"/>
    <w:rsid w:val="3B5C26CA"/>
    <w:rsid w:val="3B806DC9"/>
    <w:rsid w:val="3BC136BC"/>
    <w:rsid w:val="3CA5228C"/>
    <w:rsid w:val="3CD45CC2"/>
    <w:rsid w:val="3D725AD4"/>
    <w:rsid w:val="3DB2073B"/>
    <w:rsid w:val="3EF7B2A4"/>
    <w:rsid w:val="3F135889"/>
    <w:rsid w:val="3F6C6BA8"/>
    <w:rsid w:val="3FF0219B"/>
    <w:rsid w:val="3FFD51EF"/>
    <w:rsid w:val="401776B5"/>
    <w:rsid w:val="40BD545A"/>
    <w:rsid w:val="41000304"/>
    <w:rsid w:val="411761E8"/>
    <w:rsid w:val="420A7AE5"/>
    <w:rsid w:val="4371059B"/>
    <w:rsid w:val="437B46F6"/>
    <w:rsid w:val="437C1F45"/>
    <w:rsid w:val="43E85F10"/>
    <w:rsid w:val="43F84960"/>
    <w:rsid w:val="44C84166"/>
    <w:rsid w:val="44D9637B"/>
    <w:rsid w:val="44D968B3"/>
    <w:rsid w:val="450F13C4"/>
    <w:rsid w:val="45491796"/>
    <w:rsid w:val="458F3F2F"/>
    <w:rsid w:val="45DB0C2A"/>
    <w:rsid w:val="46547E70"/>
    <w:rsid w:val="465A48FC"/>
    <w:rsid w:val="465E7F70"/>
    <w:rsid w:val="47251DCB"/>
    <w:rsid w:val="475D331A"/>
    <w:rsid w:val="47871C94"/>
    <w:rsid w:val="47F33399"/>
    <w:rsid w:val="486D26A1"/>
    <w:rsid w:val="48AA4A69"/>
    <w:rsid w:val="48C61172"/>
    <w:rsid w:val="49173E9D"/>
    <w:rsid w:val="49441A41"/>
    <w:rsid w:val="49B91A00"/>
    <w:rsid w:val="49F266E1"/>
    <w:rsid w:val="4A4629FE"/>
    <w:rsid w:val="4AF5319A"/>
    <w:rsid w:val="4B167C11"/>
    <w:rsid w:val="4B854A9B"/>
    <w:rsid w:val="4BB153BE"/>
    <w:rsid w:val="4C2D6F06"/>
    <w:rsid w:val="4C4616A9"/>
    <w:rsid w:val="4CB44B77"/>
    <w:rsid w:val="4CD34BCE"/>
    <w:rsid w:val="4CF46CCF"/>
    <w:rsid w:val="4DCC383B"/>
    <w:rsid w:val="4DDD6C4C"/>
    <w:rsid w:val="4E2D33FD"/>
    <w:rsid w:val="4E367A65"/>
    <w:rsid w:val="4F593BBA"/>
    <w:rsid w:val="4F5D25C0"/>
    <w:rsid w:val="4FBC7571"/>
    <w:rsid w:val="500F5CD5"/>
    <w:rsid w:val="504471F7"/>
    <w:rsid w:val="50601D24"/>
    <w:rsid w:val="50982348"/>
    <w:rsid w:val="51102C75"/>
    <w:rsid w:val="51C039E6"/>
    <w:rsid w:val="51D934C5"/>
    <w:rsid w:val="51EC51F8"/>
    <w:rsid w:val="52080F1E"/>
    <w:rsid w:val="52711BCE"/>
    <w:rsid w:val="537B2AB3"/>
    <w:rsid w:val="53DD2125"/>
    <w:rsid w:val="53F8774B"/>
    <w:rsid w:val="54067A66"/>
    <w:rsid w:val="540E027B"/>
    <w:rsid w:val="547D1FD6"/>
    <w:rsid w:val="54863837"/>
    <w:rsid w:val="54C163D4"/>
    <w:rsid w:val="55B75A26"/>
    <w:rsid w:val="563D6A52"/>
    <w:rsid w:val="56563AB2"/>
    <w:rsid w:val="568414BC"/>
    <w:rsid w:val="578713EA"/>
    <w:rsid w:val="57BB4B16"/>
    <w:rsid w:val="58C064AB"/>
    <w:rsid w:val="591C0DC3"/>
    <w:rsid w:val="593773EE"/>
    <w:rsid w:val="59677337"/>
    <w:rsid w:val="59AD3260"/>
    <w:rsid w:val="5A216C5F"/>
    <w:rsid w:val="5A6D19E9"/>
    <w:rsid w:val="5A8670FB"/>
    <w:rsid w:val="5ACA0CDE"/>
    <w:rsid w:val="5ACF3179"/>
    <w:rsid w:val="5AE83531"/>
    <w:rsid w:val="5B0B5F4E"/>
    <w:rsid w:val="5BFE4302"/>
    <w:rsid w:val="5C1B042B"/>
    <w:rsid w:val="5D1D7643"/>
    <w:rsid w:val="5D2B49E2"/>
    <w:rsid w:val="5E0D7E5A"/>
    <w:rsid w:val="5ED636ED"/>
    <w:rsid w:val="5F2528D9"/>
    <w:rsid w:val="601C18C8"/>
    <w:rsid w:val="60E65A85"/>
    <w:rsid w:val="61B473D7"/>
    <w:rsid w:val="61D44D5C"/>
    <w:rsid w:val="62470F54"/>
    <w:rsid w:val="6269721E"/>
    <w:rsid w:val="62867285"/>
    <w:rsid w:val="62926DC6"/>
    <w:rsid w:val="63211990"/>
    <w:rsid w:val="63A32486"/>
    <w:rsid w:val="63AE22FD"/>
    <w:rsid w:val="643128CC"/>
    <w:rsid w:val="64B77638"/>
    <w:rsid w:val="656131AF"/>
    <w:rsid w:val="65E5173B"/>
    <w:rsid w:val="65FB5D95"/>
    <w:rsid w:val="666D4B17"/>
    <w:rsid w:val="669D5667"/>
    <w:rsid w:val="66A62FFC"/>
    <w:rsid w:val="67177246"/>
    <w:rsid w:val="67205C40"/>
    <w:rsid w:val="672D4F56"/>
    <w:rsid w:val="674E148B"/>
    <w:rsid w:val="67730F20"/>
    <w:rsid w:val="67CB2872"/>
    <w:rsid w:val="68074C93"/>
    <w:rsid w:val="68370C8B"/>
    <w:rsid w:val="687142E8"/>
    <w:rsid w:val="691919FD"/>
    <w:rsid w:val="694252D3"/>
    <w:rsid w:val="698A4AF5"/>
    <w:rsid w:val="69DC0CA5"/>
    <w:rsid w:val="6A045073"/>
    <w:rsid w:val="6A583653"/>
    <w:rsid w:val="6ABC23F9"/>
    <w:rsid w:val="6AD471BF"/>
    <w:rsid w:val="6B344966"/>
    <w:rsid w:val="6BD464B0"/>
    <w:rsid w:val="6CEF5543"/>
    <w:rsid w:val="6D9248D0"/>
    <w:rsid w:val="6DE251D6"/>
    <w:rsid w:val="6DE623F7"/>
    <w:rsid w:val="6DFB3BA5"/>
    <w:rsid w:val="6E981BFF"/>
    <w:rsid w:val="6E994206"/>
    <w:rsid w:val="6E9B9125"/>
    <w:rsid w:val="6EE95EA2"/>
    <w:rsid w:val="6F0112FE"/>
    <w:rsid w:val="6F5F053E"/>
    <w:rsid w:val="6F944C7C"/>
    <w:rsid w:val="706743F9"/>
    <w:rsid w:val="70970BEC"/>
    <w:rsid w:val="70DA5631"/>
    <w:rsid w:val="714746D4"/>
    <w:rsid w:val="723C5278"/>
    <w:rsid w:val="724F3287"/>
    <w:rsid w:val="72A07238"/>
    <w:rsid w:val="72AE4F74"/>
    <w:rsid w:val="72CE65AF"/>
    <w:rsid w:val="72FF60D1"/>
    <w:rsid w:val="73107E04"/>
    <w:rsid w:val="73170DDF"/>
    <w:rsid w:val="731E660E"/>
    <w:rsid w:val="73586CCA"/>
    <w:rsid w:val="73A81F4C"/>
    <w:rsid w:val="73E67832"/>
    <w:rsid w:val="73F55835"/>
    <w:rsid w:val="7427609D"/>
    <w:rsid w:val="74AE17FA"/>
    <w:rsid w:val="74EA165E"/>
    <w:rsid w:val="750C7615"/>
    <w:rsid w:val="75227482"/>
    <w:rsid w:val="75244CBB"/>
    <w:rsid w:val="75AB1118"/>
    <w:rsid w:val="75AC2449"/>
    <w:rsid w:val="7622698B"/>
    <w:rsid w:val="76B85B54"/>
    <w:rsid w:val="76BD42E7"/>
    <w:rsid w:val="77582A5D"/>
    <w:rsid w:val="781A4D19"/>
    <w:rsid w:val="78BF0EDD"/>
    <w:rsid w:val="78F84707"/>
    <w:rsid w:val="78FE6611"/>
    <w:rsid w:val="79DB6EF8"/>
    <w:rsid w:val="79DF1182"/>
    <w:rsid w:val="7A294A79"/>
    <w:rsid w:val="7A36494C"/>
    <w:rsid w:val="7A3902E6"/>
    <w:rsid w:val="7A606E11"/>
    <w:rsid w:val="7AAB1B4F"/>
    <w:rsid w:val="7B316CB7"/>
    <w:rsid w:val="7BAC7174"/>
    <w:rsid w:val="7C272341"/>
    <w:rsid w:val="7CAC388D"/>
    <w:rsid w:val="7CB364A8"/>
    <w:rsid w:val="7CEB1ACE"/>
    <w:rsid w:val="7D6C7C08"/>
    <w:rsid w:val="7DA603DA"/>
    <w:rsid w:val="7DBC23D7"/>
    <w:rsid w:val="7DDA42AF"/>
    <w:rsid w:val="7DEF3EAB"/>
    <w:rsid w:val="7E0F43DF"/>
    <w:rsid w:val="7E101E61"/>
    <w:rsid w:val="7E49216D"/>
    <w:rsid w:val="7E771B76"/>
    <w:rsid w:val="7E8C2D0D"/>
    <w:rsid w:val="7EEA54D1"/>
    <w:rsid w:val="7F425A56"/>
    <w:rsid w:val="7F4377DF"/>
    <w:rsid w:val="7F512866"/>
    <w:rsid w:val="7F6D4053"/>
    <w:rsid w:val="7F6E1D9D"/>
    <w:rsid w:val="A7E1445A"/>
    <w:rsid w:val="A87E9612"/>
    <w:rsid w:val="DDFAED4D"/>
    <w:rsid w:val="E5AC8D34"/>
    <w:rsid w:val="EFFAB3B6"/>
    <w:rsid w:val="F77D27EE"/>
    <w:rsid w:val="FCE86819"/>
    <w:rsid w:val="FFFE8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28"/>
    <w:qFormat/>
    <w:uiPriority w:val="0"/>
    <w:pPr>
      <w:keepNext/>
      <w:keepLines/>
      <w:spacing w:before="340" w:after="330" w:line="576" w:lineRule="auto"/>
      <w:outlineLvl w:val="0"/>
    </w:pPr>
    <w:rPr>
      <w:b/>
      <w:kern w:val="44"/>
      <w:sz w:val="44"/>
    </w:rPr>
  </w:style>
  <w:style w:type="paragraph" w:styleId="5">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qFormat/>
    <w:uiPriority w:val="0"/>
    <w:pPr>
      <w:keepNext/>
      <w:keepLines/>
      <w:spacing w:before="260" w:after="260" w:line="413" w:lineRule="auto"/>
      <w:outlineLvl w:val="2"/>
    </w:pPr>
    <w:rPr>
      <w:b/>
      <w:sz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jc w:val="left"/>
    </w:pPr>
    <w:rPr>
      <w:rFonts w:ascii="Arial" w:hAnsi="Arial" w:eastAsia="黑体"/>
      <w:b/>
      <w:kern w:val="0"/>
      <w:sz w:val="32"/>
    </w:rPr>
  </w:style>
  <w:style w:type="paragraph" w:styleId="3">
    <w:name w:val="Body Text 2"/>
    <w:basedOn w:val="1"/>
    <w:qFormat/>
    <w:uiPriority w:val="99"/>
    <w:pPr>
      <w:spacing w:line="340" w:lineRule="exact"/>
    </w:pPr>
    <w:rPr>
      <w:rFonts w:ascii="仿宋_GB2312" w:eastAsia="仿宋_GB2312"/>
      <w:sz w:val="28"/>
    </w:rPr>
  </w:style>
  <w:style w:type="paragraph" w:styleId="8">
    <w:name w:val="Normal Indent"/>
    <w:basedOn w:val="1"/>
    <w:unhideWhenUsed/>
    <w:qFormat/>
    <w:uiPriority w:val="99"/>
    <w:pPr>
      <w:adjustRightInd w:val="0"/>
      <w:spacing w:line="360" w:lineRule="atLeast"/>
      <w:ind w:firstLine="482"/>
      <w:textAlignment w:val="baseline"/>
    </w:pPr>
    <w:rPr>
      <w:kern w:val="0"/>
      <w:sz w:val="24"/>
    </w:rPr>
  </w:style>
  <w:style w:type="paragraph" w:styleId="9">
    <w:name w:val="Document Map"/>
    <w:basedOn w:val="1"/>
    <w:semiHidden/>
    <w:qFormat/>
    <w:uiPriority w:val="0"/>
    <w:pPr>
      <w:shd w:val="clear" w:color="auto" w:fill="000080"/>
    </w:pPr>
  </w:style>
  <w:style w:type="paragraph" w:styleId="10">
    <w:name w:val="annotation text"/>
    <w:basedOn w:val="1"/>
    <w:link w:val="29"/>
    <w:qFormat/>
    <w:uiPriority w:val="99"/>
    <w:pPr>
      <w:jc w:val="left"/>
    </w:pPr>
  </w:style>
  <w:style w:type="paragraph" w:styleId="11">
    <w:name w:val="Body Text Indent"/>
    <w:basedOn w:val="1"/>
    <w:link w:val="45"/>
    <w:qFormat/>
    <w:uiPriority w:val="0"/>
    <w:pPr>
      <w:spacing w:after="120"/>
      <w:ind w:left="420" w:leftChars="200"/>
    </w:pPr>
  </w:style>
  <w:style w:type="paragraph" w:styleId="12">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13">
    <w:name w:val="Plain Text"/>
    <w:qFormat/>
    <w:uiPriority w:val="0"/>
    <w:rPr>
      <w:rFonts w:ascii="宋体" w:hAnsi="Courier New" w:eastAsia="宋体" w:cs="Times New Roman"/>
      <w:lang w:val="en-US" w:eastAsia="zh-CN" w:bidi="ar-SA"/>
    </w:rPr>
  </w:style>
  <w:style w:type="paragraph" w:styleId="14">
    <w:name w:val="Balloon Text"/>
    <w:basedOn w:val="1"/>
    <w:link w:val="30"/>
    <w:qFormat/>
    <w:uiPriority w:val="0"/>
    <w:rPr>
      <w:sz w:val="18"/>
      <w:szCs w:val="18"/>
    </w:rPr>
  </w:style>
  <w:style w:type="paragraph" w:styleId="15">
    <w:name w:val="footer"/>
    <w:basedOn w:val="1"/>
    <w:link w:val="31"/>
    <w:qFormat/>
    <w:uiPriority w:val="99"/>
    <w:pPr>
      <w:tabs>
        <w:tab w:val="center" w:pos="4153"/>
        <w:tab w:val="right" w:pos="8306"/>
      </w:tabs>
      <w:snapToGrid w:val="0"/>
      <w:jc w:val="left"/>
    </w:pPr>
    <w:rPr>
      <w:sz w:val="18"/>
      <w:szCs w:val="18"/>
    </w:rPr>
  </w:style>
  <w:style w:type="paragraph" w:styleId="16">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spacing w:after="100" w:line="276" w:lineRule="auto"/>
      <w:jc w:val="left"/>
    </w:pPr>
    <w:rPr>
      <w:rFonts w:ascii="Calibri" w:hAnsi="Calibri"/>
      <w:kern w:val="0"/>
      <w:sz w:val="22"/>
      <w:szCs w:val="22"/>
    </w:rPr>
  </w:style>
  <w:style w:type="paragraph" w:styleId="18">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styleId="19">
    <w:name w:val="Normal (Web)"/>
    <w:basedOn w:val="1"/>
    <w:qFormat/>
    <w:uiPriority w:val="0"/>
    <w:pPr>
      <w:ind w:firstLine="420"/>
    </w:pPr>
    <w:rPr>
      <w:rFonts w:ascii="仿宋" w:hAnsi="仿宋" w:eastAsia="仿宋"/>
      <w:sz w:val="24"/>
      <w:szCs w:val="32"/>
    </w:rPr>
  </w:style>
  <w:style w:type="paragraph" w:styleId="20">
    <w:name w:val="annotation subject"/>
    <w:basedOn w:val="10"/>
    <w:next w:val="10"/>
    <w:link w:val="33"/>
    <w:qFormat/>
    <w:uiPriority w:val="0"/>
    <w:rPr>
      <w:b/>
      <w:bCs/>
    </w:rPr>
  </w:style>
  <w:style w:type="paragraph" w:styleId="21">
    <w:name w:val="Body Text First Indent 2"/>
    <w:basedOn w:val="11"/>
    <w:link w:val="46"/>
    <w:qFormat/>
    <w:uiPriority w:val="0"/>
    <w:pPr>
      <w:ind w:firstLine="420" w:firstLineChars="200"/>
    </w:pPr>
    <w:rPr>
      <w:rFonts w:ascii="Calibri" w:hAnsi="Calibri" w:eastAsiaTheme="minorEastAsia" w:cstheme="minorBidi"/>
      <w:szCs w:val="24"/>
    </w:rPr>
  </w:style>
  <w:style w:type="table" w:styleId="23">
    <w:name w:val="Table Grid"/>
    <w:basedOn w:val="2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bCs/>
    </w:rPr>
  </w:style>
  <w:style w:type="character" w:styleId="26">
    <w:name w:val="Hyperlink"/>
    <w:qFormat/>
    <w:uiPriority w:val="99"/>
    <w:rPr>
      <w:color w:val="0000FF"/>
      <w:u w:val="single"/>
    </w:rPr>
  </w:style>
  <w:style w:type="character" w:styleId="27">
    <w:name w:val="annotation reference"/>
    <w:qFormat/>
    <w:uiPriority w:val="99"/>
    <w:rPr>
      <w:sz w:val="21"/>
      <w:szCs w:val="21"/>
    </w:rPr>
  </w:style>
  <w:style w:type="character" w:customStyle="1" w:styleId="28">
    <w:name w:val="标题 1 字符1"/>
    <w:link w:val="4"/>
    <w:qFormat/>
    <w:uiPriority w:val="0"/>
    <w:rPr>
      <w:b/>
      <w:kern w:val="44"/>
      <w:sz w:val="44"/>
    </w:rPr>
  </w:style>
  <w:style w:type="character" w:customStyle="1" w:styleId="29">
    <w:name w:val="批注文字 字符"/>
    <w:link w:val="10"/>
    <w:qFormat/>
    <w:uiPriority w:val="99"/>
    <w:rPr>
      <w:kern w:val="2"/>
      <w:sz w:val="21"/>
    </w:rPr>
  </w:style>
  <w:style w:type="character" w:customStyle="1" w:styleId="30">
    <w:name w:val="批注框文本 字符"/>
    <w:link w:val="14"/>
    <w:qFormat/>
    <w:uiPriority w:val="0"/>
    <w:rPr>
      <w:kern w:val="2"/>
      <w:sz w:val="18"/>
      <w:szCs w:val="18"/>
    </w:rPr>
  </w:style>
  <w:style w:type="character" w:customStyle="1" w:styleId="31">
    <w:name w:val="页脚 字符"/>
    <w:link w:val="15"/>
    <w:qFormat/>
    <w:uiPriority w:val="99"/>
    <w:rPr>
      <w:kern w:val="2"/>
      <w:sz w:val="18"/>
      <w:szCs w:val="18"/>
    </w:rPr>
  </w:style>
  <w:style w:type="character" w:customStyle="1" w:styleId="32">
    <w:name w:val="页眉 字符"/>
    <w:link w:val="16"/>
    <w:qFormat/>
    <w:uiPriority w:val="0"/>
    <w:rPr>
      <w:kern w:val="2"/>
      <w:sz w:val="18"/>
      <w:szCs w:val="18"/>
    </w:rPr>
  </w:style>
  <w:style w:type="character" w:customStyle="1" w:styleId="33">
    <w:name w:val="批注主题 字符"/>
    <w:link w:val="20"/>
    <w:qFormat/>
    <w:uiPriority w:val="0"/>
    <w:rPr>
      <w:b/>
      <w:bCs/>
      <w:kern w:val="2"/>
      <w:sz w:val="21"/>
    </w:rPr>
  </w:style>
  <w:style w:type="character" w:customStyle="1" w:styleId="34">
    <w:name w:val="标题 1 字符"/>
    <w:qFormat/>
    <w:uiPriority w:val="0"/>
    <w:rPr>
      <w:b/>
      <w:kern w:val="44"/>
      <w:sz w:val="44"/>
    </w:rPr>
  </w:style>
  <w:style w:type="character" w:customStyle="1" w:styleId="35">
    <w:name w:val="标准文本 Char"/>
    <w:link w:val="36"/>
    <w:qFormat/>
    <w:uiPriority w:val="0"/>
    <w:rPr>
      <w:rFonts w:ascii="宋体" w:cs="宋体"/>
      <w:kern w:val="2"/>
      <w:sz w:val="24"/>
      <w:szCs w:val="21"/>
    </w:rPr>
  </w:style>
  <w:style w:type="paragraph" w:customStyle="1" w:styleId="36">
    <w:name w:val="标准文本"/>
    <w:basedOn w:val="1"/>
    <w:link w:val="35"/>
    <w:qFormat/>
    <w:uiPriority w:val="0"/>
    <w:pPr>
      <w:spacing w:line="360" w:lineRule="auto"/>
      <w:ind w:firstLine="200" w:firstLineChars="200"/>
    </w:pPr>
    <w:rPr>
      <w:rFonts w:ascii="宋体"/>
      <w:sz w:val="24"/>
      <w:szCs w:val="21"/>
    </w:rPr>
  </w:style>
  <w:style w:type="character" w:customStyle="1" w:styleId="37">
    <w:name w:val="Jimson Body Text Char"/>
    <w:link w:val="38"/>
    <w:qFormat/>
    <w:locked/>
    <w:uiPriority w:val="0"/>
    <w:rPr>
      <w:sz w:val="24"/>
    </w:rPr>
  </w:style>
  <w:style w:type="paragraph" w:customStyle="1" w:styleId="38">
    <w:name w:val="Jimson Body Text"/>
    <w:basedOn w:val="1"/>
    <w:link w:val="37"/>
    <w:qFormat/>
    <w:uiPriority w:val="0"/>
    <w:pPr>
      <w:spacing w:line="360" w:lineRule="auto"/>
      <w:ind w:firstLine="200" w:firstLineChars="200"/>
    </w:pPr>
    <w:rPr>
      <w:kern w:val="0"/>
      <w:sz w:val="24"/>
    </w:rPr>
  </w:style>
  <w:style w:type="paragraph" w:customStyle="1" w:styleId="39">
    <w:name w:val="列出段落2"/>
    <w:basedOn w:val="1"/>
    <w:qFormat/>
    <w:uiPriority w:val="99"/>
    <w:pPr>
      <w:ind w:firstLine="420" w:firstLineChars="200"/>
    </w:pPr>
    <w:rPr>
      <w:rFonts w:eastAsia="仿宋"/>
      <w:sz w:val="32"/>
    </w:rPr>
  </w:style>
  <w:style w:type="paragraph" w:customStyle="1" w:styleId="40">
    <w:name w:val="TOC Heading"/>
    <w:basedOn w:val="4"/>
    <w:next w:val="1"/>
    <w:qFormat/>
    <w:uiPriority w:val="39"/>
    <w:pPr>
      <w:widowControl/>
      <w:spacing w:before="480" w:after="0" w:line="276" w:lineRule="auto"/>
      <w:jc w:val="left"/>
      <w:outlineLvl w:val="9"/>
    </w:pPr>
    <w:rPr>
      <w:rFonts w:ascii="Cambria" w:hAnsi="Cambria"/>
      <w:bCs/>
      <w:color w:val="365F91"/>
      <w:kern w:val="0"/>
      <w:sz w:val="28"/>
      <w:szCs w:val="28"/>
    </w:rPr>
  </w:style>
  <w:style w:type="paragraph" w:styleId="41">
    <w:name w:val="List Paragraph"/>
    <w:basedOn w:val="1"/>
    <w:qFormat/>
    <w:uiPriority w:val="34"/>
    <w:pPr>
      <w:ind w:firstLine="420" w:firstLineChars="200"/>
    </w:pPr>
    <w:rPr>
      <w:rFonts w:ascii="Calibri" w:hAnsi="Calibri"/>
      <w:szCs w:val="22"/>
    </w:rPr>
  </w:style>
  <w:style w:type="paragraph" w:customStyle="1" w:styleId="42">
    <w:name w:val="文档正文"/>
    <w:basedOn w:val="1"/>
    <w:qFormat/>
    <w:uiPriority w:val="0"/>
    <w:pPr>
      <w:adjustRightInd w:val="0"/>
      <w:spacing w:line="480" w:lineRule="atLeast"/>
      <w:ind w:firstLine="464" w:firstLineChars="200"/>
      <w:jc w:val="left"/>
      <w:textAlignment w:val="baseline"/>
    </w:pPr>
    <w:rPr>
      <w:rFonts w:ascii="宋体" w:hAnsi="Arial" w:eastAsia="仿宋"/>
      <w:kern w:val="0"/>
      <w:sz w:val="24"/>
      <w:szCs w:val="24"/>
    </w:rPr>
  </w:style>
  <w:style w:type="paragraph" w:customStyle="1" w:styleId="43">
    <w:name w:val="WPSOffice手动目录 1"/>
    <w:qFormat/>
    <w:uiPriority w:val="0"/>
    <w:rPr>
      <w:rFonts w:ascii="Times New Roman" w:hAnsi="Times New Roman" w:eastAsia="宋体" w:cs="Times New Roman"/>
      <w:lang w:val="en-US" w:eastAsia="zh-CN" w:bidi="ar-SA"/>
    </w:rPr>
  </w:style>
  <w:style w:type="paragraph" w:customStyle="1" w:styleId="4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45">
    <w:name w:val="正文文本缩进 字符"/>
    <w:basedOn w:val="24"/>
    <w:link w:val="11"/>
    <w:qFormat/>
    <w:uiPriority w:val="0"/>
    <w:rPr>
      <w:kern w:val="2"/>
      <w:sz w:val="21"/>
    </w:rPr>
  </w:style>
  <w:style w:type="character" w:customStyle="1" w:styleId="46">
    <w:name w:val="正文文本首行缩进 2 字符"/>
    <w:basedOn w:val="45"/>
    <w:link w:val="21"/>
    <w:qFormat/>
    <w:uiPriority w:val="0"/>
    <w:rPr>
      <w:rFonts w:ascii="Calibri" w:hAnsi="Calibri" w:eastAsiaTheme="minorEastAsia" w:cstheme="minorBidi"/>
      <w:kern w:val="2"/>
      <w:sz w:val="21"/>
      <w:szCs w:val="24"/>
    </w:rPr>
  </w:style>
  <w:style w:type="character" w:customStyle="1" w:styleId="47">
    <w:name w:val="NormalCharacter"/>
    <w:qFormat/>
    <w:uiPriority w:val="0"/>
  </w:style>
  <w:style w:type="paragraph" w:customStyle="1" w:styleId="48">
    <w:name w:val="179"/>
    <w:basedOn w:val="1"/>
    <w:qFormat/>
    <w:uiPriority w:val="0"/>
    <w:pPr>
      <w:widowControl/>
      <w:ind w:firstLine="420" w:firstLineChars="200"/>
      <w:jc w:val="left"/>
      <w:textAlignment w:val="baseline"/>
    </w:pPr>
    <w:rPr>
      <w:rFonts w:eastAsia="Times New Roman" w:cstheme="minorBidi"/>
      <w:color w:val="000000"/>
      <w:kern w:val="0"/>
      <w:sz w:val="24"/>
      <w:szCs w:val="24"/>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9550</Words>
  <Characters>9910</Characters>
  <Lines>81</Lines>
  <Paragraphs>22</Paragraphs>
  <TotalTime>0</TotalTime>
  <ScaleCrop>false</ScaleCrop>
  <LinksUpToDate>false</LinksUpToDate>
  <CharactersWithSpaces>10089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2022-10-14T12:23:00Z</dcterms:created>
  <dc:creator>毛建</dc:creator>
  <cp:lastModifiedBy>晏子</cp:lastModifiedBy>
  <cp:lastPrinted>2018-09-17T08:56:00Z</cp:lastPrinted>
  <dcterms:modified xsi:type="dcterms:W3CDTF">2022-10-17T02:44:18Z</dcterms:modified>
  <dc:title>马鞍山市电子政务项目建设方案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A79EA065A0884C39B920C51142252AFF</vt:lpwstr>
  </property>
</Properties>
</file>