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28"/>
          <w:szCs w:val="28"/>
        </w:rPr>
      </w:pPr>
      <w:r>
        <w:rPr>
          <w:sz w:val="28"/>
          <w:szCs w:val="28"/>
        </w:rPr>
        <w:t xml:space="preserve">  </w:t>
      </w:r>
    </w:p>
    <w:p>
      <w:pPr>
        <w:jc w:val="center"/>
        <w:rPr>
          <w:rFonts w:ascii="宋体" w:hAnsi="宋体"/>
          <w:b/>
          <w:sz w:val="48"/>
          <w:szCs w:val="48"/>
        </w:rPr>
      </w:pPr>
      <w:r>
        <w:rPr>
          <w:rFonts w:hint="eastAsia" w:ascii="宋体" w:hAnsi="宋体"/>
          <w:b/>
          <w:sz w:val="48"/>
          <w:szCs w:val="48"/>
        </w:rPr>
        <w:t>产 品 的 相 关 技 术 要 求</w:t>
      </w:r>
    </w:p>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21"/>
        <w:gridCol w:w="6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1" w:type="dxa"/>
            <w:tcBorders>
              <w:top w:val="single" w:color="auto" w:sz="4" w:space="0"/>
              <w:left w:val="single" w:color="auto" w:sz="4" w:space="0"/>
              <w:bottom w:val="single" w:color="auto" w:sz="4" w:space="0"/>
              <w:right w:val="single" w:color="auto" w:sz="4" w:space="0"/>
            </w:tcBorders>
          </w:tcPr>
          <w:p>
            <w:pPr>
              <w:spacing w:line="700" w:lineRule="exact"/>
              <w:jc w:val="center"/>
              <w:rPr>
                <w:rFonts w:ascii="仿宋_GB2312" w:hAnsi="宋体" w:eastAsia="仿宋_GB2312"/>
                <w:b/>
                <w:sz w:val="28"/>
                <w:szCs w:val="28"/>
              </w:rPr>
            </w:pPr>
            <w:r>
              <w:rPr>
                <w:rFonts w:hint="eastAsia" w:ascii="仿宋_GB2312" w:hAnsi="宋体" w:eastAsia="仿宋_GB2312"/>
                <w:b/>
                <w:sz w:val="28"/>
                <w:szCs w:val="28"/>
              </w:rPr>
              <w:t>产品名称：</w:t>
            </w:r>
          </w:p>
        </w:tc>
        <w:tc>
          <w:tcPr>
            <w:tcW w:w="6265" w:type="dxa"/>
            <w:tcBorders>
              <w:top w:val="single" w:color="auto" w:sz="4" w:space="0"/>
              <w:left w:val="single" w:color="auto" w:sz="4" w:space="0"/>
              <w:bottom w:val="single" w:color="auto" w:sz="4" w:space="0"/>
              <w:right w:val="single" w:color="auto" w:sz="4" w:space="0"/>
            </w:tcBorders>
          </w:tcPr>
          <w:p>
            <w:pPr>
              <w:spacing w:line="700" w:lineRule="exact"/>
              <w:jc w:val="center"/>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结核感染T细胞检测试剂盒</w:t>
            </w:r>
          </w:p>
          <w:p>
            <w:pPr>
              <w:spacing w:line="700" w:lineRule="exact"/>
              <w:jc w:val="center"/>
              <w:rPr>
                <w:rFonts w:ascii="仿宋_GB2312" w:hAnsi="宋体" w:eastAsia="仿宋_GB2312"/>
                <w:sz w:val="28"/>
                <w:szCs w:val="28"/>
              </w:rPr>
            </w:pPr>
            <w:r>
              <w:rPr>
                <w:rFonts w:hint="eastAsia" w:ascii="仿宋_GB2312" w:hAnsi="宋体" w:eastAsia="仿宋_GB2312"/>
                <w:sz w:val="28"/>
                <w:szCs w:val="28"/>
              </w:rPr>
              <w:t>（</w:t>
            </w:r>
            <w:r>
              <w:rPr>
                <w:rFonts w:hint="eastAsia" w:ascii="仿宋_GB2312" w:hAnsi="宋体" w:eastAsia="仿宋_GB2312"/>
                <w:sz w:val="28"/>
                <w:szCs w:val="28"/>
                <w:lang w:val="en-US" w:eastAsia="zh-CN"/>
              </w:rPr>
              <w:t>免疫荧光方法</w:t>
            </w:r>
            <w:r>
              <w:rPr>
                <w:rFonts w:hint="eastAsia" w:ascii="仿宋_GB2312" w:hAnsi="宋体" w:eastAsia="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1" w:type="dxa"/>
            <w:tcBorders>
              <w:top w:val="single" w:color="auto" w:sz="4" w:space="0"/>
              <w:left w:val="single" w:color="auto" w:sz="4" w:space="0"/>
              <w:bottom w:val="single" w:color="auto" w:sz="4" w:space="0"/>
              <w:right w:val="single" w:color="auto" w:sz="4" w:space="0"/>
            </w:tcBorders>
          </w:tcPr>
          <w:p>
            <w:pPr>
              <w:spacing w:line="700" w:lineRule="exact"/>
              <w:jc w:val="center"/>
              <w:rPr>
                <w:rFonts w:ascii="仿宋_GB2312" w:hAnsi="宋体" w:eastAsia="仿宋_GB2312"/>
                <w:b/>
                <w:sz w:val="28"/>
                <w:szCs w:val="28"/>
              </w:rPr>
            </w:pPr>
            <w:r>
              <w:rPr>
                <w:rFonts w:hint="eastAsia" w:ascii="仿宋_GB2312" w:hAnsi="宋体" w:eastAsia="仿宋_GB2312"/>
                <w:b/>
                <w:sz w:val="28"/>
                <w:szCs w:val="28"/>
              </w:rPr>
              <w:t>产品属性（勾选）：</w:t>
            </w:r>
          </w:p>
        </w:tc>
        <w:tc>
          <w:tcPr>
            <w:tcW w:w="6265" w:type="dxa"/>
            <w:tcBorders>
              <w:top w:val="single" w:color="auto" w:sz="4" w:space="0"/>
              <w:left w:val="single" w:color="auto" w:sz="4" w:space="0"/>
              <w:bottom w:val="single" w:color="auto" w:sz="4" w:space="0"/>
              <w:right w:val="single" w:color="auto" w:sz="4" w:space="0"/>
            </w:tcBorders>
          </w:tcPr>
          <w:p>
            <w:pPr>
              <w:spacing w:line="700" w:lineRule="exact"/>
              <w:jc w:val="center"/>
              <w:rPr>
                <w:rFonts w:ascii="仿宋_GB2312" w:hAnsi="宋体" w:eastAsia="仿宋_GB2312"/>
                <w:sz w:val="28"/>
                <w:szCs w:val="28"/>
              </w:rPr>
            </w:pPr>
            <w:r>
              <w:rPr>
                <w:rFonts w:hint="eastAsia" w:ascii="仿宋_GB2312" w:hAnsi="宋体" w:eastAsia="仿宋_GB2312"/>
                <w:sz w:val="28"/>
                <w:szCs w:val="28"/>
              </w:rPr>
              <w:t>国产（√ ）   进口（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1" w:type="dxa"/>
            <w:tcBorders>
              <w:top w:val="single" w:color="auto" w:sz="4" w:space="0"/>
              <w:left w:val="single" w:color="auto" w:sz="4" w:space="0"/>
              <w:bottom w:val="single" w:color="auto" w:sz="4" w:space="0"/>
              <w:right w:val="single" w:color="auto" w:sz="4" w:space="0"/>
            </w:tcBorders>
          </w:tcPr>
          <w:p>
            <w:pPr>
              <w:spacing w:line="700" w:lineRule="exact"/>
              <w:jc w:val="center"/>
              <w:rPr>
                <w:rFonts w:ascii="仿宋_GB2312" w:hAnsi="宋体" w:eastAsia="仿宋_GB2312"/>
                <w:b/>
                <w:sz w:val="28"/>
                <w:szCs w:val="28"/>
              </w:rPr>
            </w:pPr>
            <w:r>
              <w:rPr>
                <w:rFonts w:hint="eastAsia" w:ascii="仿宋_GB2312" w:hAnsi="宋体" w:eastAsia="仿宋_GB2312"/>
                <w:b/>
                <w:sz w:val="28"/>
                <w:szCs w:val="28"/>
              </w:rPr>
              <w:t>产品规格型号：</w:t>
            </w:r>
          </w:p>
        </w:tc>
        <w:tc>
          <w:tcPr>
            <w:tcW w:w="6265" w:type="dxa"/>
            <w:tcBorders>
              <w:top w:val="single" w:color="auto" w:sz="4" w:space="0"/>
              <w:left w:val="single" w:color="auto" w:sz="4" w:space="0"/>
              <w:bottom w:val="single" w:color="auto" w:sz="4" w:space="0"/>
              <w:right w:val="single" w:color="auto" w:sz="4" w:space="0"/>
            </w:tcBorders>
          </w:tcPr>
          <w:p>
            <w:pPr>
              <w:spacing w:line="700" w:lineRule="exact"/>
              <w:jc w:val="center"/>
              <w:rPr>
                <w:rFonts w:ascii="仿宋_GB2312" w:hAnsi="宋体" w:eastAsia="仿宋_GB2312"/>
                <w:sz w:val="28"/>
                <w:szCs w:val="28"/>
              </w:rPr>
            </w:pPr>
            <w:r>
              <w:rPr>
                <w:rFonts w:hint="eastAsia" w:ascii="仿宋_GB2312" w:hAnsi="宋体" w:eastAsia="仿宋_GB2312"/>
                <w:sz w:val="28"/>
                <w:szCs w:val="28"/>
                <w:lang w:val="en-US" w:eastAsia="zh-CN"/>
              </w:rPr>
              <w:t>28人份/盒、84人份/盒。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1" w:type="dxa"/>
            <w:tcBorders>
              <w:top w:val="single" w:color="auto" w:sz="4" w:space="0"/>
              <w:left w:val="single" w:color="auto" w:sz="4" w:space="0"/>
              <w:bottom w:val="single" w:color="auto" w:sz="4" w:space="0"/>
              <w:right w:val="single" w:color="auto" w:sz="4" w:space="0"/>
            </w:tcBorders>
          </w:tcPr>
          <w:p>
            <w:pPr>
              <w:spacing w:line="200" w:lineRule="exact"/>
              <w:jc w:val="center"/>
              <w:rPr>
                <w:rFonts w:ascii="仿宋_GB2312" w:hAnsi="宋体" w:eastAsia="仿宋_GB2312"/>
                <w:b/>
                <w:sz w:val="28"/>
                <w:szCs w:val="28"/>
              </w:rPr>
            </w:pPr>
          </w:p>
          <w:p>
            <w:pPr>
              <w:spacing w:line="700" w:lineRule="exact"/>
              <w:jc w:val="center"/>
              <w:rPr>
                <w:rFonts w:ascii="仿宋_GB2312" w:hAnsi="宋体" w:eastAsia="仿宋_GB2312"/>
                <w:b/>
                <w:sz w:val="28"/>
                <w:szCs w:val="28"/>
              </w:rPr>
            </w:pPr>
            <w:r>
              <w:rPr>
                <w:rFonts w:hint="eastAsia" w:ascii="仿宋_GB2312" w:hAnsi="宋体" w:eastAsia="仿宋_GB2312"/>
                <w:b/>
                <w:sz w:val="28"/>
                <w:szCs w:val="28"/>
              </w:rPr>
              <w:t>产品材质：</w:t>
            </w:r>
          </w:p>
        </w:tc>
        <w:tc>
          <w:tcPr>
            <w:tcW w:w="6265" w:type="dxa"/>
            <w:tcBorders>
              <w:top w:val="single" w:color="auto" w:sz="4" w:space="0"/>
              <w:left w:val="single" w:color="auto" w:sz="4" w:space="0"/>
              <w:bottom w:val="single" w:color="auto" w:sz="4" w:space="0"/>
              <w:right w:val="single" w:color="auto" w:sz="4" w:space="0"/>
            </w:tcBorders>
          </w:tcPr>
          <w:p>
            <w:pPr>
              <w:jc w:val="center"/>
              <w:rPr>
                <w:rFonts w:hint="default" w:ascii="Times New Roman" w:hAnsi="Times New Roman" w:eastAsia="宋体" w:cs="Times New Roman"/>
                <w:kern w:val="2"/>
                <w:sz w:val="21"/>
                <w:szCs w:val="24"/>
                <w:lang w:val="en-US" w:eastAsia="zh-CN" w:bidi="ar-SA"/>
              </w:rPr>
            </w:pPr>
            <w:r>
              <w:rPr>
                <w:rFonts w:hint="eastAsia" w:ascii="仿宋_GB2312" w:hAnsi="宋体" w:eastAsia="仿宋_GB2312"/>
                <w:sz w:val="28"/>
                <w:szCs w:val="28"/>
                <w:lang w:val="en-US" w:eastAsia="zh-CN"/>
              </w:rPr>
              <w:t>液体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1" w:type="dxa"/>
            <w:tcBorders>
              <w:top w:val="single" w:color="auto" w:sz="4" w:space="0"/>
              <w:left w:val="single" w:color="auto" w:sz="4" w:space="0"/>
              <w:bottom w:val="single" w:color="auto" w:sz="4" w:space="0"/>
              <w:right w:val="single" w:color="auto" w:sz="4" w:space="0"/>
            </w:tcBorders>
          </w:tcPr>
          <w:p>
            <w:pPr>
              <w:spacing w:line="200" w:lineRule="exact"/>
              <w:jc w:val="center"/>
              <w:rPr>
                <w:rFonts w:ascii="仿宋_GB2312" w:hAnsi="宋体" w:eastAsia="仿宋_GB2312"/>
                <w:b/>
                <w:sz w:val="28"/>
                <w:szCs w:val="28"/>
              </w:rPr>
            </w:pPr>
          </w:p>
          <w:p>
            <w:pPr>
              <w:spacing w:line="700" w:lineRule="exact"/>
              <w:jc w:val="center"/>
              <w:rPr>
                <w:rFonts w:ascii="仿宋_GB2312" w:hAnsi="宋体" w:eastAsia="仿宋_GB2312"/>
                <w:b/>
                <w:sz w:val="28"/>
                <w:szCs w:val="28"/>
              </w:rPr>
            </w:pPr>
            <w:r>
              <w:rPr>
                <w:rFonts w:hint="eastAsia" w:ascii="仿宋_GB2312" w:hAnsi="宋体" w:eastAsia="仿宋_GB2312"/>
                <w:b/>
                <w:sz w:val="28"/>
                <w:szCs w:val="28"/>
              </w:rPr>
              <w:t>产品组成：</w:t>
            </w:r>
          </w:p>
        </w:tc>
        <w:tc>
          <w:tcPr>
            <w:tcW w:w="6265" w:type="dxa"/>
            <w:tcBorders>
              <w:top w:val="single" w:color="auto" w:sz="4" w:space="0"/>
              <w:left w:val="single" w:color="auto" w:sz="4" w:space="0"/>
              <w:bottom w:val="single" w:color="auto" w:sz="4" w:space="0"/>
              <w:right w:val="single" w:color="auto" w:sz="4" w:space="0"/>
            </w:tcBorders>
          </w:tcPr>
          <w:p>
            <w:pPr>
              <w:rPr>
                <w:rFonts w:hint="default" w:ascii="仿宋_GB2312" w:hAnsi="宋体" w:eastAsia="仿宋_GB2312"/>
                <w:sz w:val="28"/>
                <w:szCs w:val="28"/>
                <w:lang w:val="en-US"/>
              </w:rPr>
            </w:pPr>
            <w:r>
              <w:rPr>
                <w:rFonts w:hint="eastAsia" w:ascii="仿宋_GB2312" w:hAnsi="宋体" w:eastAsia="仿宋_GB2312"/>
                <w:sz w:val="28"/>
                <w:szCs w:val="28"/>
                <w:lang w:val="en-US" w:eastAsia="zh-CN"/>
              </w:rPr>
              <w:t>TB-IGRAs空白对照管N、TB-IGRAs阳性对照管P、TB-IGRAs测试管T、TB-IGRAs微孔反应板、TB-IGRAs校准品A、TB-IGRAs校准品B、TB-IGRAs校准品C、TB-IGRAs校准品D、TB-IGRAs校准品E、TB-IGRAs校准品F、TB-IGRAs生物素标记抗体、TB-IGRAs铕标记物、浓缩洗液、TB-IGRAs实验缓冲液、增强液，试剂盒中还包含自封袋和封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1" w:type="dxa"/>
            <w:tcBorders>
              <w:top w:val="single" w:color="auto" w:sz="4" w:space="0"/>
              <w:left w:val="single" w:color="auto" w:sz="4" w:space="0"/>
              <w:bottom w:val="single" w:color="auto" w:sz="4" w:space="0"/>
              <w:right w:val="single" w:color="auto" w:sz="4" w:space="0"/>
            </w:tcBorders>
          </w:tcPr>
          <w:p>
            <w:pPr>
              <w:spacing w:line="200" w:lineRule="exact"/>
              <w:jc w:val="center"/>
              <w:rPr>
                <w:rFonts w:ascii="仿宋_GB2312" w:hAnsi="宋体" w:eastAsia="仿宋_GB2312"/>
                <w:b/>
                <w:sz w:val="28"/>
                <w:szCs w:val="28"/>
              </w:rPr>
            </w:pPr>
          </w:p>
          <w:p>
            <w:pPr>
              <w:spacing w:line="500" w:lineRule="exact"/>
              <w:jc w:val="center"/>
              <w:rPr>
                <w:rFonts w:ascii="仿宋_GB2312" w:hAnsi="宋体" w:eastAsia="仿宋_GB2312"/>
                <w:b/>
                <w:sz w:val="28"/>
                <w:szCs w:val="28"/>
              </w:rPr>
            </w:pPr>
            <w:r>
              <w:rPr>
                <w:rFonts w:hint="eastAsia" w:ascii="仿宋_GB2312" w:hAnsi="宋体" w:eastAsia="仿宋_GB2312"/>
                <w:b/>
                <w:sz w:val="28"/>
                <w:szCs w:val="28"/>
              </w:rPr>
              <w:t>产品包装：</w:t>
            </w:r>
          </w:p>
          <w:p>
            <w:pPr>
              <w:spacing w:line="500" w:lineRule="exact"/>
              <w:jc w:val="center"/>
              <w:rPr>
                <w:rFonts w:ascii="仿宋_GB2312" w:hAnsi="宋体" w:eastAsia="仿宋_GB2312"/>
                <w:b/>
                <w:sz w:val="24"/>
              </w:rPr>
            </w:pPr>
            <w:r>
              <w:rPr>
                <w:rFonts w:hint="eastAsia" w:ascii="仿宋_GB2312" w:hAnsi="宋体" w:eastAsia="仿宋_GB2312"/>
                <w:b/>
                <w:sz w:val="24"/>
              </w:rPr>
              <w:t>（可根据使用调整）</w:t>
            </w:r>
          </w:p>
        </w:tc>
        <w:tc>
          <w:tcPr>
            <w:tcW w:w="6265" w:type="dxa"/>
            <w:tcBorders>
              <w:top w:val="single" w:color="auto" w:sz="4" w:space="0"/>
              <w:left w:val="single" w:color="auto" w:sz="4" w:space="0"/>
              <w:bottom w:val="single" w:color="auto" w:sz="4" w:space="0"/>
              <w:right w:val="single" w:color="auto" w:sz="4" w:space="0"/>
            </w:tcBorders>
          </w:tcPr>
          <w:p>
            <w:pPr>
              <w:spacing w:line="700" w:lineRule="exact"/>
              <w:jc w:val="center"/>
              <w:rPr>
                <w:rFonts w:ascii="仿宋_GB2312" w:hAnsi="宋体" w:eastAsia="仿宋_GB2312"/>
                <w:sz w:val="28"/>
                <w:szCs w:val="28"/>
              </w:rPr>
            </w:pPr>
            <w:r>
              <w:rPr>
                <w:rFonts w:hint="eastAsia" w:ascii="仿宋_GB2312" w:hAnsi="宋体" w:eastAsia="仿宋_GB2312"/>
                <w:sz w:val="28"/>
                <w:szCs w:val="28"/>
                <w:lang w:val="en-US" w:eastAsia="zh-CN"/>
              </w:rPr>
              <w:t>28人份/盒、84人份/盒。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1" w:type="dxa"/>
            <w:tcBorders>
              <w:top w:val="single" w:color="auto" w:sz="4" w:space="0"/>
              <w:left w:val="single" w:color="auto" w:sz="4" w:space="0"/>
              <w:bottom w:val="single" w:color="auto" w:sz="4" w:space="0"/>
              <w:right w:val="single" w:color="auto" w:sz="4" w:space="0"/>
            </w:tcBorders>
          </w:tcPr>
          <w:p>
            <w:pPr>
              <w:spacing w:line="200" w:lineRule="exact"/>
              <w:jc w:val="center"/>
              <w:rPr>
                <w:rFonts w:ascii="仿宋_GB2312" w:hAnsi="宋体" w:eastAsia="仿宋_GB2312"/>
                <w:b/>
                <w:sz w:val="28"/>
                <w:szCs w:val="28"/>
              </w:rPr>
            </w:pPr>
          </w:p>
          <w:p>
            <w:pPr>
              <w:spacing w:line="700" w:lineRule="exact"/>
              <w:jc w:val="center"/>
              <w:rPr>
                <w:rFonts w:ascii="仿宋_GB2312" w:hAnsi="宋体" w:eastAsia="仿宋_GB2312"/>
                <w:b/>
                <w:sz w:val="28"/>
                <w:szCs w:val="28"/>
              </w:rPr>
            </w:pPr>
            <w:r>
              <w:rPr>
                <w:rFonts w:hint="eastAsia" w:ascii="仿宋_GB2312" w:hAnsi="宋体" w:eastAsia="仿宋_GB2312"/>
                <w:b/>
                <w:sz w:val="28"/>
                <w:szCs w:val="28"/>
              </w:rPr>
              <w:t>产品适用范围：</w:t>
            </w:r>
          </w:p>
        </w:tc>
        <w:tc>
          <w:tcPr>
            <w:tcW w:w="6265" w:type="dxa"/>
            <w:tcBorders>
              <w:top w:val="single" w:color="auto" w:sz="4" w:space="0"/>
              <w:left w:val="single" w:color="auto" w:sz="4" w:space="0"/>
              <w:bottom w:val="single" w:color="auto" w:sz="4" w:space="0"/>
              <w:right w:val="single" w:color="auto" w:sz="4" w:space="0"/>
            </w:tcBorders>
          </w:tcPr>
          <w:p>
            <w:pPr>
              <w:spacing w:before="156" w:beforeLines="50" w:after="156" w:afterLines="50" w:line="360" w:lineRule="auto"/>
              <w:rPr>
                <w:rFonts w:ascii="仿宋_GB2312" w:hAnsi="宋体" w:eastAsia="仿宋_GB2312"/>
                <w:sz w:val="28"/>
                <w:szCs w:val="28"/>
              </w:rPr>
            </w:pPr>
            <w:r>
              <w:rPr>
                <w:rFonts w:hint="eastAsia" w:ascii="仿宋_GB2312" w:hAnsi="宋体" w:eastAsia="仿宋_GB2312"/>
                <w:sz w:val="28"/>
                <w:szCs w:val="28"/>
              </w:rPr>
              <w:t>适用于多功能荧光分析仪</w:t>
            </w:r>
            <w:r>
              <w:rPr>
                <w:rFonts w:hint="eastAsia" w:ascii="仿宋_GB2312" w:hAnsi="宋体" w:eastAsia="仿宋_GB2312"/>
                <w:sz w:val="28"/>
                <w:szCs w:val="28"/>
                <w:lang w:val="en-US" w:eastAsia="zh-CN"/>
              </w:rPr>
              <w:t>TALENT</w:t>
            </w:r>
            <w:r>
              <w:rPr>
                <w:rFonts w:hint="eastAsia" w:ascii="仿宋_GB2312" w:hAnsi="宋体" w:eastAsia="仿宋_GB2312"/>
                <w:sz w:val="28"/>
                <w:szCs w:val="28"/>
              </w:rPr>
              <w:t>-star</w:t>
            </w:r>
            <w:r>
              <w:rPr>
                <w:rFonts w:hint="eastAsia" w:ascii="仿宋_GB2312" w:hAnsi="宋体" w:eastAsia="仿宋_GB2312"/>
                <w:sz w:val="28"/>
                <w:szCs w:val="28"/>
                <w:lang w:eastAsia="zh-CN"/>
              </w:rPr>
              <w:t>、</w:t>
            </w:r>
            <w:bookmarkStart w:id="0" w:name="_GoBack"/>
            <w:bookmarkEnd w:id="0"/>
            <w:r>
              <w:rPr>
                <w:rFonts w:hint="eastAsia" w:ascii="仿宋_GB2312" w:hAnsi="宋体" w:eastAsia="仿宋_GB2312"/>
                <w:sz w:val="28"/>
                <w:szCs w:val="28"/>
              </w:rPr>
              <w:t>自动荧光免疫分析仪 AutoTRFIA-2型设备上</w:t>
            </w:r>
            <w:r>
              <w:rPr>
                <w:rFonts w:hint="eastAsia" w:ascii="仿宋_GB2312" w:hAnsi="宋体" w:eastAsia="仿宋_GB2312"/>
                <w:sz w:val="28"/>
                <w:szCs w:val="28"/>
                <w:lang w:val="en-US" w:eastAsia="zh-CN"/>
              </w:rPr>
              <w:t>利用结核分枝杆菌特异性抗原刺激人全血标本中的结核分枝杆菌抗原特异性T细胞产生免疫应答，再用时间分辨免疫荧光法定量测定人血浆中免疫应答产生的γ-干扰素浓度。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21" w:type="dxa"/>
            <w:tcBorders>
              <w:top w:val="single" w:color="auto" w:sz="4" w:space="0"/>
              <w:left w:val="single" w:color="auto" w:sz="4" w:space="0"/>
              <w:bottom w:val="single" w:color="auto" w:sz="4" w:space="0"/>
              <w:right w:val="single" w:color="auto" w:sz="4" w:space="0"/>
            </w:tcBorders>
          </w:tcPr>
          <w:p>
            <w:pPr>
              <w:spacing w:line="700" w:lineRule="exact"/>
              <w:jc w:val="center"/>
              <w:rPr>
                <w:rFonts w:ascii="仿宋_GB2312" w:hAnsi="宋体" w:eastAsia="仿宋_GB2312"/>
                <w:b/>
                <w:sz w:val="28"/>
                <w:szCs w:val="28"/>
              </w:rPr>
            </w:pPr>
          </w:p>
          <w:p>
            <w:pPr>
              <w:spacing w:line="700" w:lineRule="exact"/>
              <w:jc w:val="center"/>
              <w:rPr>
                <w:rFonts w:ascii="仿宋_GB2312" w:hAnsi="宋体" w:eastAsia="仿宋_GB2312"/>
                <w:b/>
                <w:sz w:val="28"/>
                <w:szCs w:val="28"/>
              </w:rPr>
            </w:pPr>
            <w:r>
              <w:rPr>
                <w:rFonts w:hint="eastAsia" w:ascii="仿宋_GB2312" w:hAnsi="宋体" w:eastAsia="仿宋_GB2312"/>
                <w:b/>
                <w:sz w:val="28"/>
                <w:szCs w:val="28"/>
              </w:rPr>
              <w:t>产品使用性能：</w:t>
            </w:r>
          </w:p>
        </w:tc>
        <w:tc>
          <w:tcPr>
            <w:tcW w:w="6265" w:type="dxa"/>
            <w:tcBorders>
              <w:top w:val="single" w:color="auto" w:sz="4" w:space="0"/>
              <w:left w:val="single" w:color="auto" w:sz="4" w:space="0"/>
              <w:bottom w:val="single" w:color="auto" w:sz="4" w:space="0"/>
              <w:right w:val="single" w:color="auto" w:sz="4" w:space="0"/>
            </w:tcBorders>
          </w:tcPr>
          <w:p>
            <w:pPr>
              <w:numPr>
                <w:ilvl w:val="0"/>
                <w:numId w:val="1"/>
              </w:numPr>
              <w:rPr>
                <w:rFonts w:hint="eastAsia" w:ascii="仿宋_GB2312" w:hAnsi="宋体" w:eastAsia="仿宋_GB2312"/>
                <w:sz w:val="28"/>
                <w:szCs w:val="28"/>
              </w:rPr>
            </w:pPr>
            <w:r>
              <w:rPr>
                <w:rFonts w:hint="eastAsia" w:ascii="仿宋_GB2312" w:hAnsi="宋体" w:eastAsia="仿宋_GB2312"/>
                <w:sz w:val="28"/>
                <w:szCs w:val="28"/>
              </w:rPr>
              <w:t>空白限：平行检测校准品A 10孔，计算其检测荧光值的均值（x）和标准差(s)，利用剂量-反应曲线计算出“x+2s”对应的浓度值为空白限，空白限优于2pg/mL。</w:t>
            </w:r>
          </w:p>
          <w:p>
            <w:pPr>
              <w:numPr>
                <w:ilvl w:val="0"/>
                <w:numId w:val="1"/>
              </w:numPr>
              <w:ind w:left="0" w:leftChars="0" w:firstLine="0" w:firstLineChars="0"/>
              <w:rPr>
                <w:rFonts w:hint="eastAsia" w:ascii="仿宋_GB2312" w:hAnsi="宋体" w:eastAsia="仿宋_GB2312"/>
                <w:sz w:val="28"/>
                <w:szCs w:val="28"/>
              </w:rPr>
            </w:pPr>
            <w:r>
              <w:rPr>
                <w:rFonts w:hint="eastAsia" w:ascii="仿宋_GB2312" w:hAnsi="宋体" w:eastAsia="仿宋_GB2312"/>
                <w:sz w:val="28"/>
                <w:szCs w:val="28"/>
              </w:rPr>
              <w:t>阴性参考品符合率：检测20份无结核病临床症状的健康志愿者的新鲜外周抗凝血样本，其阴性参考品符合率应不低于80％。具体要求：无结核病临床症状的健康志愿者应包含不同等级的结核菌素皮试人群，即应包含结核菌素皮试强阳性者(72 h硬结或红晕直径≥15 mm或伴有水泡)、结核菌素皮试阳性者(72 h硬结或红晕直径≥5 mm)和结核菌素皮试阴性者(72 h硬结或红晕直径＜5 mm)这3种类型。</w:t>
            </w:r>
          </w:p>
          <w:p>
            <w:pPr>
              <w:numPr>
                <w:ilvl w:val="0"/>
                <w:numId w:val="1"/>
              </w:numPr>
              <w:ind w:left="0" w:leftChars="0" w:firstLine="0" w:firstLineChars="0"/>
              <w:rPr>
                <w:rFonts w:hint="eastAsia" w:ascii="仿宋_GB2312" w:hAnsi="宋体" w:eastAsia="仿宋_GB2312"/>
                <w:sz w:val="28"/>
                <w:szCs w:val="28"/>
              </w:rPr>
            </w:pPr>
            <w:r>
              <w:rPr>
                <w:rFonts w:hint="eastAsia" w:ascii="仿宋_GB2312" w:hAnsi="宋体" w:eastAsia="仿宋_GB2312"/>
                <w:sz w:val="28"/>
                <w:szCs w:val="28"/>
              </w:rPr>
              <w:t>阳性参考品符合率：检测10份结核分枝杆菌涂片和(或)培养阳性的结核病患者(菌阳)的新鲜外周抗凝血样本和10份结核分枝杆菌涂片和(或)培养阴性的临床确诊结核病患者(菌阴)的新鲜外周抗凝血样本，其阳性参考品符合率应不低于80％。4.精密度：应用阳性刺激后血浆或者企业精密性参考品作为样品进行检测，平行测试10孔，计算浓度值的变异系数（CV）值，批内CV值应不高于10.0％。连续生产的3个批次试剂盒间的批间CV值应不高于20.0%。</w:t>
            </w:r>
          </w:p>
          <w:p>
            <w:pPr>
              <w:numPr>
                <w:ilvl w:val="0"/>
                <w:numId w:val="0"/>
              </w:numPr>
              <w:ind w:leftChars="0"/>
              <w:rPr>
                <w:rFonts w:hint="eastAsia" w:ascii="仿宋_GB2312" w:hAnsi="宋体" w:eastAsia="仿宋_GB2312"/>
                <w:sz w:val="28"/>
                <w:szCs w:val="28"/>
              </w:rPr>
            </w:pPr>
            <w:r>
              <w:rPr>
                <w:rFonts w:hint="eastAsia" w:ascii="仿宋_GB2312" w:hAnsi="宋体" w:eastAsia="仿宋_GB2312"/>
                <w:sz w:val="28"/>
                <w:szCs w:val="28"/>
              </w:rPr>
              <w:t>5.线性：在2～5000pg/mL线性范围内，线性相关系数r应不低于0.9900。</w:t>
            </w:r>
          </w:p>
          <w:p>
            <w:pPr>
              <w:numPr>
                <w:ilvl w:val="0"/>
                <w:numId w:val="0"/>
              </w:numPr>
              <w:ind w:leftChars="0"/>
              <w:rPr>
                <w:rFonts w:hint="eastAsia" w:ascii="仿宋_GB2312" w:hAnsi="宋体" w:eastAsia="仿宋_GB2312"/>
                <w:sz w:val="28"/>
                <w:szCs w:val="28"/>
              </w:rPr>
            </w:pPr>
            <w:r>
              <w:rPr>
                <w:rFonts w:hint="eastAsia" w:ascii="仿宋_GB2312" w:hAnsi="宋体" w:eastAsia="仿宋_GB2312"/>
                <w:sz w:val="28"/>
                <w:szCs w:val="28"/>
              </w:rPr>
              <w:t>6.准确性：在试剂盒校准品B～F范围内，用定标后的试剂盒配套校准品检测国际参考品或企业参考品，参考品的实测值与标示值的相对偏差应在±20.0％范围内。</w:t>
            </w:r>
          </w:p>
          <w:p>
            <w:pPr>
              <w:numPr>
                <w:ilvl w:val="0"/>
                <w:numId w:val="0"/>
              </w:numPr>
              <w:ind w:leftChars="0"/>
              <w:rPr>
                <w:rFonts w:ascii="仿宋_GB2312" w:hAnsi="宋体" w:eastAsia="仿宋_GB2312"/>
                <w:sz w:val="28"/>
                <w:szCs w:val="28"/>
              </w:rPr>
            </w:pPr>
            <w:r>
              <w:rPr>
                <w:rFonts w:hint="eastAsia" w:ascii="仿宋_GB2312" w:hAnsi="宋体" w:eastAsia="仿宋_GB2312"/>
                <w:sz w:val="28"/>
                <w:szCs w:val="28"/>
              </w:rPr>
              <w:t>7.稳定性：在实际储存条件下保存至成品有效期后2个月内的样品对空白限、阴性参考品符合率、阳性参考品符合率、批内精密度、线性和准确性等指标进行检测，检测结果符合以上要求。</w:t>
            </w:r>
          </w:p>
        </w:tc>
      </w:tr>
    </w:tbl>
    <w:p>
      <w:pPr>
        <w:spacing w:line="500" w:lineRule="exact"/>
        <w:ind w:firstLine="420" w:firstLineChars="150"/>
        <w:rPr>
          <w:sz w:val="28"/>
          <w:szCs w:val="28"/>
        </w:rPr>
      </w:pPr>
    </w:p>
    <w:p>
      <w:pPr>
        <w:ind w:firstLine="420" w:firstLineChars="150"/>
        <w:rPr>
          <w:sz w:val="28"/>
          <w:szCs w:val="28"/>
        </w:rPr>
      </w:pPr>
      <w:r>
        <w:rPr>
          <w:rFonts w:hint="eastAsia"/>
          <w:sz w:val="28"/>
          <w:szCs w:val="28"/>
        </w:rPr>
        <w:t>填表人签名：</w:t>
      </w:r>
      <w:r>
        <w:rPr>
          <w:sz w:val="28"/>
          <w:szCs w:val="28"/>
        </w:rPr>
        <w:t xml:space="preserve">                          </w:t>
      </w:r>
      <w:r>
        <w:rPr>
          <w:rFonts w:hint="eastAsia"/>
          <w:sz w:val="28"/>
          <w:szCs w:val="28"/>
        </w:rPr>
        <w:t xml:space="preserve">      </w:t>
      </w:r>
      <w:r>
        <w:rPr>
          <w:sz w:val="28"/>
          <w:szCs w:val="28"/>
        </w:rPr>
        <w:t xml:space="preserve"> </w:t>
      </w: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p>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FAD31E"/>
    <w:multiLevelType w:val="singleLevel"/>
    <w:tmpl w:val="59FAD31E"/>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ViMGJlYzEyODNmNjI2YjhiYjU4MjFhNWIyZTc5ZjEifQ=="/>
  </w:docVars>
  <w:rsids>
    <w:rsidRoot w:val="74D60645"/>
    <w:rsid w:val="00202B64"/>
    <w:rsid w:val="002A2303"/>
    <w:rsid w:val="003A60F5"/>
    <w:rsid w:val="00A573B4"/>
    <w:rsid w:val="00C04DDD"/>
    <w:rsid w:val="00C90029"/>
    <w:rsid w:val="00E348B4"/>
    <w:rsid w:val="00F6417B"/>
    <w:rsid w:val="00FC5366"/>
    <w:rsid w:val="1B30779A"/>
    <w:rsid w:val="235906EC"/>
    <w:rsid w:val="24560580"/>
    <w:rsid w:val="291C3A2B"/>
    <w:rsid w:val="3EFE4153"/>
    <w:rsid w:val="58413769"/>
    <w:rsid w:val="66922324"/>
    <w:rsid w:val="682D5AB2"/>
    <w:rsid w:val="6EDF56FB"/>
    <w:rsid w:val="74D60645"/>
    <w:rsid w:val="7876557E"/>
    <w:rsid w:val="79E820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0"/>
    <w:rPr>
      <w:kern w:val="2"/>
      <w:sz w:val="18"/>
      <w:szCs w:val="18"/>
    </w:rPr>
  </w:style>
  <w:style w:type="character" w:customStyle="1" w:styleId="8">
    <w:name w:val="页脚 字符"/>
    <w:basedOn w:val="6"/>
    <w:link w:val="2"/>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955</Words>
  <Characters>1120</Characters>
  <Lines>4</Lines>
  <Paragraphs>1</Paragraphs>
  <TotalTime>6</TotalTime>
  <ScaleCrop>false</ScaleCrop>
  <LinksUpToDate>false</LinksUpToDate>
  <CharactersWithSpaces>1186</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2022-09-05T04:18:00Z</dcterms:created>
  <dc:creator>日光晴</dc:creator>
  <cp:lastModifiedBy>悠然</cp:lastModifiedBy>
  <cp:lastPrinted>2020-04-23T08:31:00Z</cp:lastPrinted>
  <dcterms:modified xsi:type="dcterms:W3CDTF">2022-09-20T03:28:34Z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996FCA40F01A42889562F20E52891BD7</vt:lpwstr>
  </property>
</Properties>
</file>