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78331" w14:textId="3630857D" w:rsidR="00CB2AAB" w:rsidRDefault="00D73E9A">
      <w:pPr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预算：</w:t>
      </w:r>
      <w:r w:rsidR="00701FD1">
        <w:rPr>
          <w:rFonts w:ascii="仿宋" w:eastAsia="仿宋" w:hAnsi="仿宋" w:cs="仿宋"/>
          <w:b/>
          <w:bCs/>
          <w:sz w:val="36"/>
          <w:szCs w:val="36"/>
        </w:rPr>
        <w:t>28.8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>万元</w:t>
      </w:r>
    </w:p>
    <w:p w14:paraId="04E09A57" w14:textId="02684384" w:rsidR="00CB2AAB" w:rsidRDefault="00D73E9A">
      <w:pPr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数量：</w:t>
      </w:r>
      <w:r w:rsidR="00701FD1">
        <w:rPr>
          <w:rFonts w:ascii="仿宋" w:eastAsia="仿宋" w:hAnsi="仿宋" w:cs="仿宋"/>
          <w:b/>
          <w:bCs/>
          <w:sz w:val="36"/>
          <w:szCs w:val="36"/>
        </w:rPr>
        <w:t>480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>片</w:t>
      </w:r>
    </w:p>
    <w:p w14:paraId="378D9D2D" w14:textId="77777777" w:rsidR="00CB2AAB" w:rsidRDefault="00CB2AAB">
      <w:pPr>
        <w:widowControl/>
        <w:jc w:val="center"/>
        <w:rPr>
          <w:rFonts w:ascii="仿宋" w:eastAsia="仿宋" w:hAnsi="仿宋" w:cs="仿宋"/>
          <w:b/>
          <w:bCs/>
          <w:kern w:val="0"/>
          <w:sz w:val="36"/>
          <w:szCs w:val="36"/>
        </w:rPr>
      </w:pPr>
    </w:p>
    <w:p w14:paraId="4ED38936" w14:textId="77777777" w:rsidR="00CB2AAB" w:rsidRDefault="00D73E9A">
      <w:pPr>
        <w:widowControl/>
        <w:jc w:val="center"/>
        <w:rPr>
          <w:rFonts w:ascii="仿宋" w:eastAsia="仿宋" w:hAnsi="仿宋" w:cs="仿宋"/>
          <w:b/>
          <w:bCs/>
          <w:kern w:val="0"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kern w:val="0"/>
          <w:sz w:val="36"/>
          <w:szCs w:val="36"/>
        </w:rPr>
        <w:t>可吸收止血纱（可吸收止血材料）参数</w:t>
      </w:r>
    </w:p>
    <w:p w14:paraId="2443A97F" w14:textId="77777777" w:rsidR="00CB2AAB" w:rsidRDefault="00D73E9A">
      <w:pPr>
        <w:pStyle w:val="af3"/>
        <w:widowControl/>
        <w:numPr>
          <w:ilvl w:val="0"/>
          <w:numId w:val="2"/>
        </w:numPr>
        <w:ind w:firstLineChars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总体要求：</w:t>
      </w:r>
    </w:p>
    <w:p w14:paraId="52CA2E8C" w14:textId="77777777" w:rsidR="00CB2AAB" w:rsidRDefault="00D73E9A">
      <w:pPr>
        <w:pStyle w:val="af3"/>
        <w:widowControl/>
        <w:numPr>
          <w:ilvl w:val="1"/>
          <w:numId w:val="2"/>
        </w:numPr>
        <w:ind w:left="0" w:firstLineChars="0" w:firstLine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用于各类手术中结扎或其他传统止血方法不适用或无效时，帮助控制毛细血管、静脉和小动脉出血。</w:t>
      </w:r>
    </w:p>
    <w:p w14:paraId="3168A0A7" w14:textId="77777777" w:rsidR="00CB2AAB" w:rsidRDefault="00D73E9A">
      <w:pPr>
        <w:pStyle w:val="af3"/>
        <w:widowControl/>
        <w:numPr>
          <w:ilvl w:val="1"/>
          <w:numId w:val="2"/>
        </w:numPr>
        <w:ind w:left="0" w:firstLineChars="0" w:firstLine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*</w:t>
      </w:r>
      <w:r>
        <w:rPr>
          <w:rFonts w:ascii="仿宋" w:eastAsia="仿宋" w:hAnsi="仿宋" w:cs="仿宋" w:hint="eastAsia"/>
          <w:kern w:val="0"/>
          <w:sz w:val="32"/>
          <w:szCs w:val="32"/>
        </w:rPr>
        <w:t>产品注册证为三类，可体内使用</w:t>
      </w:r>
    </w:p>
    <w:p w14:paraId="15E800CF" w14:textId="77777777" w:rsidR="00CB2AAB" w:rsidRDefault="00D73E9A">
      <w:pPr>
        <w:widowControl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二、功能要求</w:t>
      </w:r>
    </w:p>
    <w:p w14:paraId="0073CC63" w14:textId="77777777" w:rsidR="00CB2AAB" w:rsidRDefault="00D73E9A">
      <w:pPr>
        <w:pStyle w:val="af3"/>
        <w:widowControl/>
        <w:numPr>
          <w:ilvl w:val="0"/>
          <w:numId w:val="3"/>
        </w:numPr>
        <w:spacing w:line="480" w:lineRule="exact"/>
        <w:ind w:firstLineChars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呈白色或浅黄色</w:t>
      </w:r>
    </w:p>
    <w:p w14:paraId="75749481" w14:textId="77777777" w:rsidR="00CB2AAB" w:rsidRDefault="00D73E9A">
      <w:pPr>
        <w:pStyle w:val="af3"/>
        <w:widowControl/>
        <w:numPr>
          <w:ilvl w:val="0"/>
          <w:numId w:val="3"/>
        </w:numPr>
        <w:spacing w:line="480" w:lineRule="exact"/>
        <w:ind w:firstLineChars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不遮挡手术视野，不形成斑块，且术后复查</w:t>
      </w:r>
      <w:r>
        <w:rPr>
          <w:rFonts w:ascii="仿宋" w:eastAsia="仿宋" w:hAnsi="仿宋" w:cs="仿宋" w:hint="eastAsia"/>
          <w:kern w:val="0"/>
          <w:sz w:val="32"/>
          <w:szCs w:val="32"/>
        </w:rPr>
        <w:t>CT</w:t>
      </w:r>
      <w:r>
        <w:rPr>
          <w:rFonts w:ascii="仿宋" w:eastAsia="仿宋" w:hAnsi="仿宋" w:cs="仿宋" w:hint="eastAsia"/>
          <w:kern w:val="0"/>
          <w:sz w:val="32"/>
          <w:szCs w:val="32"/>
        </w:rPr>
        <w:t>及核磁共振无伪影。</w:t>
      </w:r>
    </w:p>
    <w:p w14:paraId="14720EF4" w14:textId="77777777" w:rsidR="00CB2AAB" w:rsidRDefault="00D73E9A">
      <w:pPr>
        <w:pStyle w:val="af3"/>
        <w:widowControl/>
        <w:numPr>
          <w:ilvl w:val="0"/>
          <w:numId w:val="3"/>
        </w:numPr>
        <w:spacing w:line="480" w:lineRule="exact"/>
        <w:ind w:firstLineChars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产品可平贴、包裹、填塞、分层、任意塑形使用。</w:t>
      </w:r>
    </w:p>
    <w:p w14:paraId="76B46FD8" w14:textId="77777777" w:rsidR="00CB2AAB" w:rsidRDefault="00D73E9A">
      <w:pPr>
        <w:pStyle w:val="af3"/>
        <w:widowControl/>
        <w:numPr>
          <w:ilvl w:val="0"/>
          <w:numId w:val="3"/>
        </w:numPr>
        <w:spacing w:line="480" w:lineRule="exact"/>
        <w:ind w:firstLineChars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可直接在止血纱上电凝。</w:t>
      </w:r>
    </w:p>
    <w:p w14:paraId="03339D12" w14:textId="77777777" w:rsidR="00CB2AAB" w:rsidRDefault="00D73E9A">
      <w:pPr>
        <w:pStyle w:val="af3"/>
        <w:widowControl/>
        <w:numPr>
          <w:ilvl w:val="0"/>
          <w:numId w:val="3"/>
        </w:numPr>
        <w:ind w:firstLineChars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适用于各种外科手术渗出血创伤止血。</w:t>
      </w:r>
    </w:p>
    <w:p w14:paraId="6E1D68B8" w14:textId="77777777" w:rsidR="00CB2AAB" w:rsidRDefault="00D73E9A">
      <w:pPr>
        <w:pStyle w:val="af3"/>
        <w:widowControl/>
        <w:numPr>
          <w:ilvl w:val="0"/>
          <w:numId w:val="3"/>
        </w:numPr>
        <w:ind w:firstLineChars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对局部组织无刺激性，无免疫原性和动物源传染风险。</w:t>
      </w:r>
    </w:p>
    <w:p w14:paraId="794748FD" w14:textId="77777777" w:rsidR="00CB2AAB" w:rsidRDefault="00D73E9A">
      <w:pPr>
        <w:pStyle w:val="af3"/>
        <w:widowControl/>
        <w:numPr>
          <w:ilvl w:val="0"/>
          <w:numId w:val="3"/>
        </w:numPr>
        <w:ind w:firstLineChars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对凝血功能障碍的病人和肝素化治疗者均有效。</w:t>
      </w:r>
    </w:p>
    <w:p w14:paraId="3EC80347" w14:textId="77777777" w:rsidR="00CB2AAB" w:rsidRDefault="00D73E9A">
      <w:pPr>
        <w:pStyle w:val="af3"/>
        <w:numPr>
          <w:ilvl w:val="0"/>
          <w:numId w:val="3"/>
        </w:numPr>
        <w:ind w:firstLineChars="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一次性使用，无菌。</w:t>
      </w:r>
    </w:p>
    <w:p w14:paraId="1A328DE4" w14:textId="77777777" w:rsidR="00CB2AAB" w:rsidRDefault="00D73E9A">
      <w:pPr>
        <w:pStyle w:val="af3"/>
        <w:widowControl/>
        <w:numPr>
          <w:ilvl w:val="0"/>
          <w:numId w:val="4"/>
        </w:numPr>
        <w:ind w:firstLineChars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产品参数：</w:t>
      </w:r>
    </w:p>
    <w:p w14:paraId="207A282A" w14:textId="77777777" w:rsidR="00CB2AAB" w:rsidRDefault="00D73E9A">
      <w:pPr>
        <w:widowControl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1.</w:t>
      </w:r>
      <w:r>
        <w:rPr>
          <w:rFonts w:ascii="仿宋" w:eastAsia="仿宋" w:hAnsi="仿宋" w:cs="仿宋" w:hint="eastAsia"/>
          <w:kern w:val="0"/>
          <w:sz w:val="32"/>
          <w:szCs w:val="32"/>
        </w:rPr>
        <w:t>止血时间：≤</w:t>
      </w:r>
      <w:r>
        <w:rPr>
          <w:rFonts w:ascii="仿宋" w:eastAsia="仿宋" w:hAnsi="仿宋" w:cs="仿宋" w:hint="eastAsia"/>
          <w:kern w:val="0"/>
          <w:sz w:val="32"/>
          <w:szCs w:val="32"/>
        </w:rPr>
        <w:t>120</w:t>
      </w:r>
      <w:r>
        <w:rPr>
          <w:rFonts w:ascii="仿宋" w:eastAsia="仿宋" w:hAnsi="仿宋" w:cs="仿宋" w:hint="eastAsia"/>
          <w:kern w:val="0"/>
          <w:sz w:val="32"/>
          <w:szCs w:val="32"/>
        </w:rPr>
        <w:t>秒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</w:rPr>
        <w:br/>
      </w:r>
      <w:r>
        <w:rPr>
          <w:rFonts w:ascii="仿宋" w:eastAsia="仿宋" w:hAnsi="仿宋" w:cs="仿宋"/>
          <w:kern w:val="0"/>
          <w:sz w:val="32"/>
          <w:szCs w:val="32"/>
        </w:rPr>
        <w:t>2.</w:t>
      </w:r>
      <w:r>
        <w:rPr>
          <w:rFonts w:ascii="仿宋" w:eastAsia="仿宋" w:hAnsi="仿宋" w:cs="仿宋" w:hint="eastAsia"/>
          <w:kern w:val="0"/>
          <w:sz w:val="32"/>
          <w:szCs w:val="32"/>
        </w:rPr>
        <w:t>吸收时间：</w:t>
      </w:r>
      <w:r>
        <w:rPr>
          <w:rFonts w:ascii="仿宋" w:eastAsia="仿宋" w:hAnsi="仿宋" w:cs="仿宋" w:hint="eastAsia"/>
          <w:kern w:val="0"/>
          <w:sz w:val="32"/>
          <w:szCs w:val="32"/>
        </w:rPr>
        <w:t>1-2</w:t>
      </w:r>
      <w:r>
        <w:rPr>
          <w:rFonts w:ascii="仿宋" w:eastAsia="仿宋" w:hAnsi="仿宋" w:cs="仿宋" w:hint="eastAsia"/>
          <w:kern w:val="0"/>
          <w:sz w:val="32"/>
          <w:szCs w:val="32"/>
        </w:rPr>
        <w:t>周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</w:rPr>
        <w:br/>
      </w:r>
      <w:r>
        <w:rPr>
          <w:rFonts w:ascii="仿宋" w:eastAsia="仿宋" w:hAnsi="仿宋" w:cs="仿宋"/>
          <w:kern w:val="0"/>
          <w:sz w:val="32"/>
          <w:szCs w:val="32"/>
        </w:rPr>
        <w:t>3.</w:t>
      </w:r>
      <w:r>
        <w:rPr>
          <w:rFonts w:ascii="仿宋" w:eastAsia="仿宋" w:hAnsi="仿宋" w:cs="仿宋" w:hint="eastAsia"/>
          <w:kern w:val="0"/>
          <w:sz w:val="32"/>
          <w:szCs w:val="32"/>
        </w:rPr>
        <w:t>有效期：≥</w:t>
      </w:r>
      <w:r>
        <w:rPr>
          <w:rFonts w:ascii="仿宋" w:eastAsia="仿宋" w:hAnsi="仿宋" w:cs="仿宋" w:hint="eastAsia"/>
          <w:kern w:val="0"/>
          <w:sz w:val="32"/>
          <w:szCs w:val="32"/>
        </w:rPr>
        <w:t>18</w:t>
      </w:r>
      <w:r>
        <w:rPr>
          <w:rFonts w:ascii="仿宋" w:eastAsia="仿宋" w:hAnsi="仿宋" w:cs="仿宋" w:hint="eastAsia"/>
          <w:kern w:val="0"/>
          <w:sz w:val="32"/>
          <w:szCs w:val="32"/>
        </w:rPr>
        <w:t>个月</w:t>
      </w:r>
    </w:p>
    <w:p w14:paraId="09639FEA" w14:textId="77777777" w:rsidR="00CB2AAB" w:rsidRDefault="00CB2AAB">
      <w:pPr>
        <w:widowControl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4DFA8084" w14:textId="77777777" w:rsidR="00CB2AAB" w:rsidRDefault="00CB2AAB">
      <w:pPr>
        <w:pStyle w:val="a0"/>
      </w:pPr>
    </w:p>
    <w:sectPr w:rsidR="00CB2AAB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DA0C2" w14:textId="77777777" w:rsidR="00D73E9A" w:rsidRDefault="00D73E9A">
      <w:r>
        <w:separator/>
      </w:r>
    </w:p>
  </w:endnote>
  <w:endnote w:type="continuationSeparator" w:id="0">
    <w:p w14:paraId="1C29D4E9" w14:textId="77777777" w:rsidR="00D73E9A" w:rsidRDefault="00D73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DB752" w14:textId="77777777" w:rsidR="00CB2AAB" w:rsidRDefault="00D73E9A">
    <w:pPr>
      <w:pStyle w:val="aa"/>
      <w:ind w:firstLine="36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17B7FF" wp14:editId="59FAA579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7FAB0C1D" w14:textId="77777777" w:rsidR="00CB2AAB" w:rsidRDefault="00D73E9A">
                          <w:pPr>
                            <w:pStyle w:val="aa"/>
                            <w:ind w:firstLine="36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III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17B7FF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" filled="f" stroked="f" strokeweight="1.25pt">
              <v:textbox style="mso-fit-shape-to-text:t" inset="0,0,0,0">
                <w:txbxContent>
                  <w:p w14:paraId="7FAB0C1D" w14:textId="77777777" w:rsidR="00CB2AAB" w:rsidRDefault="00D73E9A">
                    <w:pPr>
                      <w:pStyle w:val="aa"/>
                      <w:ind w:firstLine="360"/>
                      <w:jc w:val="right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III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74EAA06" w14:textId="77777777" w:rsidR="00CB2AAB" w:rsidRDefault="00CB2AAB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29E24" w14:textId="77777777" w:rsidR="00D73E9A" w:rsidRDefault="00D73E9A">
      <w:r>
        <w:separator/>
      </w:r>
    </w:p>
  </w:footnote>
  <w:footnote w:type="continuationSeparator" w:id="0">
    <w:p w14:paraId="1E80E5A3" w14:textId="77777777" w:rsidR="00D73E9A" w:rsidRDefault="00D73E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42487"/>
    <w:multiLevelType w:val="multilevel"/>
    <w:tmpl w:val="0724248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  <w:b w:val="0"/>
        <w:sz w:val="32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F9122C"/>
    <w:multiLevelType w:val="multilevel"/>
    <w:tmpl w:val="3EF9122C"/>
    <w:lvl w:ilvl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FC041D7"/>
    <w:multiLevelType w:val="multilevel"/>
    <w:tmpl w:val="4FC041D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7D70EB9"/>
    <w:multiLevelType w:val="multilevel"/>
    <w:tmpl w:val="77D70EB9"/>
    <w:lvl w:ilvl="0">
      <w:start w:val="1"/>
      <w:numFmt w:val="chineseCounting"/>
      <w:suff w:val="nothing"/>
      <w:lvlText w:val="第%1章 "/>
      <w:lvlJc w:val="left"/>
      <w:pPr>
        <w:tabs>
          <w:tab w:val="left" w:pos="0"/>
        </w:tabs>
        <w:ind w:left="567" w:hanging="567"/>
      </w:pPr>
      <w:rPr>
        <w:rFonts w:ascii="宋体" w:eastAsia="仿宋" w:hAnsi="宋体" w:cs="宋体" w:hint="eastAsia"/>
        <w:sz w:val="44"/>
      </w:rPr>
    </w:lvl>
    <w:lvl w:ilvl="1">
      <w:start w:val="1"/>
      <w:numFmt w:val="decimal"/>
      <w:isLgl/>
      <w:lvlText w:val="%1.%2"/>
      <w:lvlJc w:val="left"/>
      <w:pPr>
        <w:tabs>
          <w:tab w:val="left" w:pos="420"/>
        </w:tabs>
        <w:ind w:left="567" w:hanging="567"/>
      </w:pPr>
      <w:rPr>
        <w:rFonts w:ascii="宋体" w:eastAsia="宋体" w:hAnsi="宋体" w:cs="宋体" w:hint="eastAsia"/>
      </w:rPr>
    </w:lvl>
    <w:lvl w:ilvl="2">
      <w:start w:val="1"/>
      <w:numFmt w:val="decimal"/>
      <w:isLgl/>
      <w:lvlText w:val="%1.%2.%3"/>
      <w:lvlJc w:val="left"/>
      <w:pPr>
        <w:ind w:left="567" w:hanging="567"/>
      </w:pPr>
      <w:rPr>
        <w:rFonts w:ascii="宋体" w:eastAsia="宋体" w:hAnsi="宋体" w:cs="宋体" w:hint="eastAsia"/>
      </w:rPr>
    </w:lvl>
    <w:lvl w:ilvl="3">
      <w:start w:val="1"/>
      <w:numFmt w:val="decimal"/>
      <w:isLgl/>
      <w:lvlText w:val="%1.%2.%3.%4"/>
      <w:lvlJc w:val="left"/>
      <w:pPr>
        <w:ind w:left="567" w:hanging="567"/>
      </w:pPr>
      <w:rPr>
        <w:rFonts w:ascii="宋体" w:eastAsia="宋体" w:hAnsi="宋体" w:cs="宋体" w:hint="eastAsia"/>
      </w:rPr>
    </w:lvl>
    <w:lvl w:ilvl="4">
      <w:start w:val="1"/>
      <w:numFmt w:val="decimal"/>
      <w:pStyle w:val="5"/>
      <w:isLgl/>
      <w:lvlText w:val="%1.%2.%3.%4.%5"/>
      <w:lvlJc w:val="left"/>
      <w:pPr>
        <w:ind w:left="567" w:hanging="567"/>
      </w:pPr>
      <w:rPr>
        <w:rFonts w:ascii="宋体" w:eastAsia="宋体" w:hAnsi="宋体" w:cs="宋体" w:hint="eastAsia"/>
      </w:rPr>
    </w:lvl>
    <w:lvl w:ilvl="5">
      <w:start w:val="1"/>
      <w:numFmt w:val="decimal"/>
      <w:pStyle w:val="6"/>
      <w:isLgl/>
      <w:lvlText w:val="%1.%2.%3.%4.%5.%6"/>
      <w:lvlJc w:val="left"/>
      <w:pPr>
        <w:ind w:left="567" w:hanging="567"/>
      </w:pPr>
      <w:rPr>
        <w:rFonts w:ascii="宋体" w:eastAsia="宋体" w:hAnsi="宋体" w:cs="宋体" w:hint="eastAsia"/>
      </w:rPr>
    </w:lvl>
    <w:lvl w:ilvl="6">
      <w:start w:val="1"/>
      <w:numFmt w:val="decimal"/>
      <w:pStyle w:val="7"/>
      <w:isLgl/>
      <w:lvlText w:val="%1.%2.%3.%4.%5.%6.%7"/>
      <w:lvlJc w:val="left"/>
      <w:pPr>
        <w:ind w:left="567" w:hanging="567"/>
      </w:pPr>
      <w:rPr>
        <w:rFonts w:ascii="宋体" w:eastAsia="宋体" w:hAnsi="宋体" w:cs="宋体"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130"/>
        </w:tabs>
        <w:ind w:left="567" w:hanging="567"/>
      </w:pPr>
      <w:rPr>
        <w:rFonts w:ascii="宋体" w:eastAsia="宋体" w:hAnsi="宋体" w:cs="宋体" w:hint="eastAsia"/>
      </w:rPr>
    </w:lvl>
    <w:lvl w:ilvl="8">
      <w:start w:val="1"/>
      <w:numFmt w:val="decimal"/>
      <w:isLgl/>
      <w:lvlText w:val="%1.%2.%3.%4.%5.%6.%7.%8.%9"/>
      <w:lvlJc w:val="left"/>
      <w:pPr>
        <w:ind w:left="567" w:hanging="567"/>
      </w:pPr>
      <w:rPr>
        <w:rFonts w:ascii="宋体" w:eastAsia="宋体" w:hAnsi="宋体" w:cs="宋体" w:hint="eastAsia"/>
      </w:rPr>
    </w:lvl>
  </w:abstractNum>
  <w:num w:numId="1" w16cid:durableId="372653498">
    <w:abstractNumId w:val="3"/>
  </w:num>
  <w:num w:numId="2" w16cid:durableId="672799826">
    <w:abstractNumId w:val="0"/>
  </w:num>
  <w:num w:numId="3" w16cid:durableId="253057605">
    <w:abstractNumId w:val="2"/>
  </w:num>
  <w:num w:numId="4" w16cid:durableId="1274071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2EAD"/>
    <w:rsid w:val="0006394C"/>
    <w:rsid w:val="00184F72"/>
    <w:rsid w:val="00392EAD"/>
    <w:rsid w:val="00701FD1"/>
    <w:rsid w:val="00AC1658"/>
    <w:rsid w:val="00C8366C"/>
    <w:rsid w:val="00C918A8"/>
    <w:rsid w:val="00CB2AAB"/>
    <w:rsid w:val="00CF1A06"/>
    <w:rsid w:val="00D73E9A"/>
    <w:rsid w:val="00FE54D8"/>
    <w:rsid w:val="03FC30F2"/>
    <w:rsid w:val="045F47CF"/>
    <w:rsid w:val="07FA792A"/>
    <w:rsid w:val="0C147130"/>
    <w:rsid w:val="0F3B1796"/>
    <w:rsid w:val="11BB213F"/>
    <w:rsid w:val="13DF15A1"/>
    <w:rsid w:val="192843B9"/>
    <w:rsid w:val="1BE167DA"/>
    <w:rsid w:val="1CAD2FD8"/>
    <w:rsid w:val="1FD3237B"/>
    <w:rsid w:val="20F02517"/>
    <w:rsid w:val="25D106ED"/>
    <w:rsid w:val="2C353948"/>
    <w:rsid w:val="2C622A9F"/>
    <w:rsid w:val="2FFD12DB"/>
    <w:rsid w:val="35C232DF"/>
    <w:rsid w:val="379C3D1E"/>
    <w:rsid w:val="3B38668E"/>
    <w:rsid w:val="45192910"/>
    <w:rsid w:val="49D17819"/>
    <w:rsid w:val="4C544477"/>
    <w:rsid w:val="4EA33269"/>
    <w:rsid w:val="537E146C"/>
    <w:rsid w:val="5A214710"/>
    <w:rsid w:val="5B117AD9"/>
    <w:rsid w:val="608B3C94"/>
    <w:rsid w:val="61146296"/>
    <w:rsid w:val="62097556"/>
    <w:rsid w:val="626C3864"/>
    <w:rsid w:val="62D73126"/>
    <w:rsid w:val="632C1151"/>
    <w:rsid w:val="65085106"/>
    <w:rsid w:val="679E4E4E"/>
    <w:rsid w:val="6B696C61"/>
    <w:rsid w:val="6EEB1CCF"/>
    <w:rsid w:val="711866F3"/>
    <w:rsid w:val="71277F9A"/>
    <w:rsid w:val="71BA40BB"/>
    <w:rsid w:val="71E93BED"/>
    <w:rsid w:val="73BA2049"/>
    <w:rsid w:val="74721A2E"/>
    <w:rsid w:val="7A8164AB"/>
    <w:rsid w:val="7CAF3A0A"/>
    <w:rsid w:val="7D4E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455DA3"/>
  <w15:docId w15:val="{7DF1B827-A137-4E03-8480-94F3AE663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uiPriority="0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link w:val="NormalCharacter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tabs>
        <w:tab w:val="left" w:pos="360"/>
        <w:tab w:val="left" w:pos="1830"/>
        <w:tab w:val="left" w:pos="1920"/>
      </w:tabs>
      <w:outlineLvl w:val="0"/>
    </w:pPr>
    <w:rPr>
      <w:rFonts w:ascii="Arial" w:eastAsia="仿宋_GB2312" w:hAnsi="Arial"/>
      <w:sz w:val="28"/>
      <w:lang w:val="zh-CN" w:bidi="he-IL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1"/>
    <w:qFormat/>
    <w:pPr>
      <w:keepNext/>
      <w:keepLines/>
      <w:numPr>
        <w:ilvl w:val="4"/>
        <w:numId w:val="1"/>
      </w:numPr>
      <w:spacing w:before="260" w:after="260" w:line="413" w:lineRule="auto"/>
      <w:ind w:left="0" w:firstLine="0"/>
      <w:outlineLvl w:val="4"/>
    </w:p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pacing w:before="260" w:after="260" w:line="413" w:lineRule="auto"/>
      <w:ind w:left="0" w:firstLine="0"/>
      <w:outlineLvl w:val="5"/>
    </w:pPr>
    <w:rPr>
      <w:rFonts w:ascii="Arial" w:hAnsi="Arial"/>
      <w:sz w:val="28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spacing w:before="260" w:after="260" w:line="413" w:lineRule="auto"/>
      <w:ind w:left="0" w:firstLine="0"/>
      <w:outlineLvl w:val="6"/>
    </w:pPr>
    <w:rPr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link w:val="a5"/>
    <w:unhideWhenUsed/>
    <w:qFormat/>
    <w:pPr>
      <w:spacing w:after="120"/>
    </w:pPr>
  </w:style>
  <w:style w:type="paragraph" w:customStyle="1" w:styleId="a1">
    <w:name w:val="正文样式"/>
    <w:basedOn w:val="a"/>
    <w:next w:val="a"/>
    <w:qFormat/>
    <w:pPr>
      <w:ind w:firstLine="480"/>
    </w:pPr>
    <w:rPr>
      <w:szCs w:val="24"/>
    </w:rPr>
  </w:style>
  <w:style w:type="paragraph" w:styleId="a6">
    <w:name w:val="Normal Indent"/>
    <w:basedOn w:val="a"/>
    <w:uiPriority w:val="99"/>
    <w:unhideWhenUsed/>
    <w:qFormat/>
    <w:pPr>
      <w:adjustRightInd w:val="0"/>
      <w:spacing w:line="360" w:lineRule="atLeast"/>
      <w:ind w:firstLine="482"/>
      <w:textAlignment w:val="baseline"/>
    </w:pPr>
    <w:rPr>
      <w:kern w:val="0"/>
      <w:sz w:val="24"/>
    </w:rPr>
  </w:style>
  <w:style w:type="paragraph" w:styleId="a7">
    <w:name w:val="Body Text Indent"/>
    <w:basedOn w:val="a"/>
    <w:next w:val="a"/>
    <w:qFormat/>
    <w:pPr>
      <w:ind w:leftChars="200" w:left="420"/>
    </w:pPr>
    <w:rPr>
      <w:rFonts w:ascii="Calibri" w:hAnsi="Calibri"/>
      <w:sz w:val="24"/>
    </w:rPr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qFormat/>
    <w:rPr>
      <w:rFonts w:ascii="Calibri" w:hAnsi="Calibri" w:cs="Calibri"/>
      <w:kern w:val="1"/>
      <w:sz w:val="24"/>
    </w:rPr>
  </w:style>
  <w:style w:type="paragraph" w:styleId="af">
    <w:name w:val="Title"/>
    <w:basedOn w:val="a"/>
    <w:next w:val="a"/>
    <w:link w:val="af0"/>
    <w:qFormat/>
    <w:pPr>
      <w:spacing w:before="240" w:after="60"/>
      <w:outlineLvl w:val="0"/>
    </w:pPr>
    <w:rPr>
      <w:rFonts w:ascii="Cambria" w:eastAsiaTheme="minorEastAsia" w:hAnsi="Cambria"/>
      <w:b/>
      <w:bCs/>
      <w:sz w:val="32"/>
      <w:szCs w:val="32"/>
    </w:rPr>
  </w:style>
  <w:style w:type="table" w:styleId="af1">
    <w:name w:val="Table Grid"/>
    <w:basedOn w:val="a3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2">
    <w:name w:val="正文（缩进）"/>
    <w:basedOn w:val="a"/>
    <w:next w:val="a"/>
    <w:qFormat/>
    <w:pPr>
      <w:spacing w:beforeLines="50" w:afterLines="50" w:line="360" w:lineRule="auto"/>
      <w:ind w:firstLineChars="200" w:firstLine="480"/>
    </w:pPr>
    <w:rPr>
      <w:kern w:val="0"/>
      <w:sz w:val="24"/>
      <w:szCs w:val="24"/>
    </w:rPr>
  </w:style>
  <w:style w:type="character" w:customStyle="1" w:styleId="af0">
    <w:name w:val="标题 字符"/>
    <w:link w:val="af"/>
    <w:qFormat/>
    <w:rPr>
      <w:rFonts w:ascii="Cambria" w:hAnsi="Cambria" w:cs="Times New Roman"/>
      <w:b/>
      <w:bCs/>
      <w:sz w:val="32"/>
      <w:szCs w:val="32"/>
    </w:rPr>
  </w:style>
  <w:style w:type="character" w:customStyle="1" w:styleId="Char1">
    <w:name w:val="标题 Char1"/>
    <w:basedOn w:val="a2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5">
    <w:name w:val="正文文本 字符"/>
    <w:basedOn w:val="a2"/>
    <w:link w:val="a0"/>
    <w:semiHidden/>
    <w:qFormat/>
    <w:rPr>
      <w:rFonts w:ascii="Times New Roman" w:eastAsia="宋体" w:hAnsi="Times New Roman" w:cs="Times New Roman"/>
      <w:szCs w:val="20"/>
    </w:rPr>
  </w:style>
  <w:style w:type="character" w:customStyle="1" w:styleId="ad">
    <w:name w:val="页眉 字符"/>
    <w:basedOn w:val="a2"/>
    <w:link w:val="ac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页脚 字符"/>
    <w:basedOn w:val="a2"/>
    <w:link w:val="aa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2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Char1">
    <w:name w:val="标题 1 Char1"/>
    <w:qFormat/>
    <w:locked/>
    <w:rPr>
      <w:rFonts w:ascii="Arial" w:eastAsia="仿宋_GB2312" w:hAnsi="Arial" w:cs="Times New Roman"/>
      <w:sz w:val="28"/>
      <w:szCs w:val="20"/>
      <w:lang w:val="zh-CN" w:eastAsia="zh-CN" w:bidi="he-IL"/>
    </w:rPr>
  </w:style>
  <w:style w:type="character" w:customStyle="1" w:styleId="30">
    <w:name w:val="标题 3 字符"/>
    <w:basedOn w:val="a2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2"/>
    <w:link w:val="4"/>
    <w:uiPriority w:val="9"/>
    <w:qFormat/>
    <w:rPr>
      <w:rFonts w:ascii="Cambria" w:eastAsia="宋体" w:hAnsi="Cambria" w:cs="Times New Roman"/>
      <w:b/>
      <w:bCs/>
      <w:sz w:val="28"/>
      <w:szCs w:val="28"/>
    </w:rPr>
  </w:style>
  <w:style w:type="paragraph" w:customStyle="1" w:styleId="20">
    <w:name w:val="列出段落2"/>
    <w:basedOn w:val="a"/>
    <w:qFormat/>
    <w:pPr>
      <w:ind w:firstLineChars="200" w:firstLine="420"/>
    </w:pPr>
    <w:rPr>
      <w:rFonts w:cs="Calibri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character" w:customStyle="1" w:styleId="a9">
    <w:name w:val="批注框文本 字符"/>
    <w:basedOn w:val="a2"/>
    <w:link w:val="a8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qFormat/>
    <w:pPr>
      <w:widowControl/>
      <w:spacing w:line="365" w:lineRule="atLeast"/>
      <w:ind w:left="1"/>
      <w:textAlignment w:val="bottom"/>
    </w:pPr>
    <w:rPr>
      <w:kern w:val="0"/>
      <w:sz w:val="20"/>
    </w:rPr>
  </w:style>
  <w:style w:type="paragraph" w:customStyle="1" w:styleId="p15">
    <w:name w:val="p15"/>
    <w:basedOn w:val="a"/>
    <w:qFormat/>
    <w:pPr>
      <w:widowControl/>
      <w:ind w:firstLine="420"/>
    </w:pPr>
    <w:rPr>
      <w:kern w:val="0"/>
      <w:szCs w:val="21"/>
    </w:rPr>
  </w:style>
  <w:style w:type="paragraph" w:customStyle="1" w:styleId="msolistparagraph0">
    <w:name w:val="msolistparagraph"/>
    <w:basedOn w:val="a"/>
    <w:qFormat/>
    <w:pPr>
      <w:ind w:firstLineChars="200" w:firstLine="420"/>
    </w:pPr>
  </w:style>
  <w:style w:type="paragraph" w:customStyle="1" w:styleId="11">
    <w:name w:val="列表段落1"/>
    <w:qFormat/>
    <w:pPr>
      <w:widowControl w:val="0"/>
      <w:ind w:firstLine="42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paragraph" w:customStyle="1" w:styleId="Af4">
    <w:name w:val="正文 A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af5">
    <w:name w:val="*正文"/>
    <w:basedOn w:val="a6"/>
    <w:qFormat/>
  </w:style>
  <w:style w:type="paragraph" w:customStyle="1" w:styleId="af6">
    <w:name w:val="表格"/>
    <w:basedOn w:val="a"/>
    <w:next w:val="a"/>
    <w:qFormat/>
    <w:pPr>
      <w:spacing w:line="360" w:lineRule="auto"/>
      <w:jc w:val="center"/>
    </w:pPr>
    <w:rPr>
      <w:rFonts w:ascii="Calibri" w:hAnsi="Calibri"/>
      <w:sz w:val="24"/>
      <w:szCs w:val="21"/>
    </w:rPr>
  </w:style>
  <w:style w:type="paragraph" w:customStyle="1" w:styleId="af7">
    <w:name w:val="模板普通正文"/>
    <w:basedOn w:val="a7"/>
    <w:qFormat/>
    <w:pPr>
      <w:spacing w:beforeLines="50" w:after="10"/>
      <w:ind w:leftChars="0" w:left="0" w:firstLineChars="175" w:firstLine="490"/>
      <w:jc w:val="left"/>
    </w:pPr>
    <w:rPr>
      <w:rFonts w:ascii="Times New Roman" w:hAnsi="Times New Roman"/>
      <w:szCs w:val="24"/>
    </w:rPr>
  </w:style>
  <w:style w:type="character" w:customStyle="1" w:styleId="10">
    <w:name w:val="标题 1 字符"/>
    <w:link w:val="1"/>
    <w:qFormat/>
    <w:rPr>
      <w:rFonts w:eastAsia="仿宋"/>
      <w:kern w:val="44"/>
      <w:sz w:val="44"/>
    </w:rPr>
  </w:style>
  <w:style w:type="paragraph" w:styleId="af8">
    <w:name w:val="No Spacing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2">
    <w:name w:val="无间隔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ListParagraph1">
    <w:name w:val="List Paragraph1"/>
    <w:basedOn w:val="a"/>
    <w:qFormat/>
    <w:pPr>
      <w:widowControl/>
      <w:spacing w:line="357" w:lineRule="atLeast"/>
      <w:ind w:firstLineChars="200" w:firstLine="420"/>
      <w:textAlignment w:val="baseline"/>
    </w:pPr>
    <w:rPr>
      <w:rFonts w:ascii="宋体" w:hAnsi="宋体"/>
      <w:color w:val="000000"/>
      <w:kern w:val="0"/>
      <w:szCs w:val="21"/>
      <w:u w:color="000000"/>
    </w:rPr>
  </w:style>
  <w:style w:type="paragraph" w:customStyle="1" w:styleId="001122">
    <w:name w:val="样式001122"/>
    <w:basedOn w:val="a"/>
    <w:qFormat/>
    <w:rPr>
      <w:rFonts w:ascii="Calibri" w:hAnsi="Calibri"/>
      <w:sz w:val="28"/>
      <w:szCs w:val="28"/>
    </w:rPr>
  </w:style>
  <w:style w:type="paragraph" w:customStyle="1" w:styleId="af9">
    <w:name w:val="！正文"/>
    <w:uiPriority w:val="99"/>
    <w:qFormat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  <w:shd w:val="clear" w:color="030000" w:fill="auto"/>
      <w:spacing w:line="360" w:lineRule="auto"/>
      <w:ind w:firstLine="480"/>
    </w:pPr>
    <w:rPr>
      <w:rFonts w:ascii="Arial" w:hAnsi="Arial" w:cs="Arial"/>
      <w:kern w:val="1"/>
      <w:sz w:val="24"/>
      <w:szCs w:val="24"/>
    </w:rPr>
  </w:style>
  <w:style w:type="character" w:customStyle="1" w:styleId="NormalCharacter">
    <w:name w:val="NormalCharacter"/>
    <w:semiHidden/>
    <w:qFormat/>
    <w:rPr>
      <w:rFonts w:ascii="Times New Roman" w:eastAsia="宋体" w:hAnsi="Times New Roman" w:cs="Times New Roman"/>
      <w:kern w:val="2"/>
      <w:sz w:val="21"/>
      <w:szCs w:val="20"/>
      <w:lang w:val="en-US" w:eastAsia="zh-CN" w:bidi="ar-SA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>Far123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万 星人</cp:lastModifiedBy>
  <cp:revision>2</cp:revision>
  <cp:lastPrinted>2021-12-10T03:42:00Z</cp:lastPrinted>
  <dcterms:created xsi:type="dcterms:W3CDTF">2022-05-26T10:26:00Z</dcterms:created>
  <dcterms:modified xsi:type="dcterms:W3CDTF">2022-05-26T10:26:00Z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60DD4F3786574D4F93DB9C30D2486101</vt:lpwstr>
  </property>
</Properties>
</file>