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马鞍山市人民医院零星工程造价咨询服务项目参数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eastAsia" w:ascii="仿宋" w:hAnsi="仿宋" w:eastAsia="仿宋" w:cs="仿宋"/>
          <w:color w:val="000000"/>
          <w:sz w:val="36"/>
          <w:szCs w:val="36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投标方资质：</w:t>
      </w:r>
      <w:r>
        <w:rPr>
          <w:rFonts w:hint="eastAsia" w:ascii="仿宋" w:hAnsi="仿宋" w:eastAsia="仿宋" w:cs="仿宋"/>
          <w:color w:val="000000"/>
          <w:sz w:val="36"/>
          <w:szCs w:val="36"/>
        </w:rPr>
        <w:t>工程造价咨询企业乙级（含）及以上资质</w:t>
      </w:r>
    </w:p>
    <w:p>
      <w:pPr>
        <w:rPr>
          <w:rFonts w:hint="eastAsia" w:ascii="仿宋" w:hAnsi="仿宋" w:eastAsia="仿宋" w:cs="仿宋"/>
          <w:color w:val="000000"/>
          <w:sz w:val="36"/>
          <w:szCs w:val="36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服务期：3年。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服务内容：</w:t>
      </w:r>
    </w:p>
    <w:p>
      <w:pPr>
        <w:ind w:firstLine="720" w:firstLineChars="200"/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中标方须对市人民医院零星工程进行控制价清单编制，并对工程进行全过程造价咨询服务。提供纸质版清单控制价4份及电子版和软件版。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付款方式：如工程项目按施工完毕并办理竣工手续，则按工程控制价*清单控制价编制费率+审定价*全过程造价咨询费率付款，如工程项目未实施，则按工程控制价*全过程造价咨询费率付款。该项目款项每半年汇总支付一次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招标方式：采用竞争性谈判方式招标。预算3.5万元/年。按照综合费率招标，费率报价时须写明控制价编制费率及全过程跟踪审计费率均为多少。按照2项费率相加得出最终投标费率。其中控制价编制费率不得高于0.695%，全过程造价咨询服务费率不得高于1.05%。</w:t>
      </w:r>
    </w:p>
    <w:p>
      <w:pPr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kOGRmYzE3M2ZlNjJkMzEwMWNkNWZiZjU2ZjA5NDYifQ=="/>
  </w:docVars>
  <w:rsids>
    <w:rsidRoot w:val="0DAD1A25"/>
    <w:rsid w:val="0DAD1A25"/>
    <w:rsid w:val="3A477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333</Words>
  <Characters>344</Characters>
  <Lines>0</Lines>
  <Paragraphs>0</Paragraphs>
  <TotalTime>1</TotalTime>
  <ScaleCrop>false</ScaleCrop>
  <LinksUpToDate>false</LinksUpToDate>
  <CharactersWithSpaces>344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2022-05-07T07:03:00Z</dcterms:created>
  <dc:creator>毁月</dc:creator>
  <cp:lastModifiedBy>毁月</cp:lastModifiedBy>
  <dcterms:modified xsi:type="dcterms:W3CDTF">2022-05-07T07:04:45Z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2ABBE19F01DD4282A21B4F6295E9551D</vt:lpwstr>
  </property>
</Properties>
</file>