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50"/>
        </w:tabs>
        <w:spacing w:line="440" w:lineRule="exact"/>
        <w:jc w:val="center"/>
        <w:outlineLvl w:val="2"/>
        <w:rPr>
          <w:rFonts w:ascii="宋体" w:hAnsi="宋体"/>
          <w:b/>
          <w:sz w:val="28"/>
          <w:szCs w:val="28"/>
        </w:rPr>
      </w:pPr>
      <w:bookmarkStart w:id="9" w:name="_GoBack"/>
      <w:bookmarkEnd w:id="9"/>
      <w:r>
        <w:rPr>
          <w:rFonts w:hint="eastAsia" w:ascii="宋体" w:hAnsi="宋体"/>
          <w:b/>
          <w:sz w:val="28"/>
          <w:szCs w:val="28"/>
        </w:rPr>
        <w:t>（一）采购内容及总体要求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根据《马鞍山市人民政府办公室关于印发马鞍山市市级政务信息化项目建设管理办法的通知》（马政办（2020)31号）及相关管理规范要求，信息化项目实行监理制</w:t>
      </w:r>
      <w:r>
        <w:rPr>
          <w:rFonts w:hint="eastAsia" w:ascii="宋体" w:hAnsi="宋体"/>
          <w:color w:val="000000"/>
          <w:sz w:val="24"/>
          <w:szCs w:val="24"/>
          <w:lang w:eastAsia="zh-CN"/>
        </w:rPr>
        <w:t>。</w:t>
      </w:r>
      <w:r>
        <w:rPr>
          <w:rFonts w:hint="eastAsia" w:ascii="宋体" w:hAnsi="宋体"/>
          <w:color w:val="000000"/>
          <w:sz w:val="24"/>
          <w:szCs w:val="24"/>
        </w:rPr>
        <w:t>为了规</w:t>
      </w:r>
      <w:r>
        <w:rPr>
          <w:rFonts w:hint="eastAsia" w:ascii="宋体" w:hAnsi="宋体"/>
          <w:sz w:val="24"/>
          <w:szCs w:val="24"/>
        </w:rPr>
        <w:t>范马鞍山市人民医院信息化项目建</w:t>
      </w:r>
      <w:r>
        <w:rPr>
          <w:rFonts w:hint="eastAsia" w:ascii="宋体" w:hAnsi="宋体"/>
          <w:color w:val="000000"/>
          <w:sz w:val="24"/>
          <w:szCs w:val="24"/>
        </w:rPr>
        <w:t>设的实施过程，现实行信息化工程监理对项目实施的全过程进行监理。</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为体现公平、公正、公开的原则，项目采用公开招标方式。</w:t>
      </w:r>
    </w:p>
    <w:p>
      <w:pPr>
        <w:spacing w:line="360" w:lineRule="auto"/>
        <w:outlineLvl w:val="1"/>
        <w:rPr>
          <w:rFonts w:ascii="宋体" w:hAnsi="宋体" w:cs="宋体"/>
          <w:b/>
          <w:sz w:val="24"/>
        </w:rPr>
      </w:pPr>
      <w:bookmarkStart w:id="0" w:name="_Toc1032"/>
      <w:r>
        <w:rPr>
          <w:rFonts w:hint="eastAsia" w:ascii="宋体" w:hAnsi="宋体"/>
          <w:b/>
          <w:sz w:val="24"/>
        </w:rPr>
        <w:t>一、</w:t>
      </w:r>
      <w:bookmarkEnd w:id="0"/>
      <w:r>
        <w:rPr>
          <w:rFonts w:hint="eastAsia" w:ascii="宋体" w:hAnsi="宋体" w:cs="宋体"/>
          <w:b/>
          <w:sz w:val="24"/>
        </w:rPr>
        <w:t>供应商资格条件：</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eastAsia="zh-CN"/>
        </w:rPr>
        <w:t>.</w:t>
      </w:r>
      <w:r>
        <w:rPr>
          <w:rFonts w:hint="eastAsia" w:ascii="宋体" w:hAnsi="宋体"/>
          <w:color w:val="000000"/>
          <w:sz w:val="24"/>
          <w:szCs w:val="24"/>
        </w:rPr>
        <w:t>符合《中华人民共和国政府采购法》第二十二条规定；</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2</w:t>
      </w:r>
      <w:r>
        <w:rPr>
          <w:rFonts w:hint="eastAsia" w:ascii="宋体" w:hAnsi="宋体"/>
          <w:color w:val="000000"/>
          <w:sz w:val="24"/>
          <w:szCs w:val="24"/>
          <w:lang w:eastAsia="zh-CN"/>
        </w:rPr>
        <w:t>.</w:t>
      </w:r>
      <w:r>
        <w:rPr>
          <w:rFonts w:hint="eastAsia" w:ascii="宋体" w:hAnsi="宋体"/>
          <w:color w:val="000000"/>
          <w:sz w:val="24"/>
          <w:szCs w:val="24"/>
        </w:rPr>
        <w:t>本项目不接受联合体磋商；</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3</w:t>
      </w:r>
      <w:r>
        <w:rPr>
          <w:rFonts w:hint="eastAsia" w:ascii="宋体" w:hAnsi="宋体"/>
          <w:color w:val="000000"/>
          <w:sz w:val="24"/>
          <w:szCs w:val="24"/>
          <w:lang w:eastAsia="zh-CN"/>
        </w:rPr>
        <w:t>.</w:t>
      </w:r>
      <w:r>
        <w:rPr>
          <w:rFonts w:hint="eastAsia" w:ascii="宋体" w:hAnsi="宋体"/>
          <w:color w:val="000000"/>
          <w:sz w:val="24"/>
          <w:szCs w:val="24"/>
        </w:rPr>
        <w:t>供应商须符合下列情形之一（不良行为记录以《马鞍山市公共资源交易主体不良行为信息处理暂行办法》（马公管〔2016〕35号）为准）：</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（1）磋商日前两年内未被马鞍山市、县公共资源交易监督管理部门记不良行为记录或记不良行为记录累计未满5分的。</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（2）最近一次被马鞍山市、县公共资源交易监督管理部门记不良行为记录累计记分达5分到9分(含9分)且公布日距磋商日超过3个月。</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（3）最近一次被马鞍山市、县公共资源交易监督管理部门记不良行为记录累计记分达10分到19分(含19分)且公布日距磋商日超过6个月。</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（4）最近一次被马鞍山市、县公共资源交易监督管理部门记不良行为记录累计记分达20分到29分(含29分)且公布日距磋商日超过12个月。</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（5）最近一次被马鞍山市、县公共资源交易监督管理部门记不良行为记录累计记分30分以上(含30分)且公布日距磋商日超过24个月。</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4</w:t>
      </w:r>
      <w:r>
        <w:rPr>
          <w:rFonts w:hint="eastAsia" w:ascii="宋体" w:hAnsi="宋体"/>
          <w:color w:val="000000"/>
          <w:sz w:val="24"/>
          <w:szCs w:val="24"/>
          <w:lang w:eastAsia="zh-CN"/>
        </w:rPr>
        <w:t>.</w:t>
      </w:r>
      <w:r>
        <w:rPr>
          <w:rFonts w:hint="eastAsia" w:ascii="宋体" w:hAnsi="宋体"/>
          <w:color w:val="000000"/>
          <w:sz w:val="24"/>
          <w:szCs w:val="24"/>
        </w:rPr>
        <w:t>已获取磋商文件；</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5</w:t>
      </w:r>
      <w:r>
        <w:rPr>
          <w:rFonts w:hint="eastAsia" w:ascii="宋体" w:hAnsi="宋体"/>
          <w:color w:val="000000"/>
          <w:sz w:val="24"/>
          <w:szCs w:val="24"/>
          <w:lang w:eastAsia="zh-CN"/>
        </w:rPr>
        <w:t>.</w:t>
      </w:r>
      <w:r>
        <w:rPr>
          <w:rFonts w:hint="eastAsia" w:ascii="宋体" w:hAnsi="宋体"/>
          <w:color w:val="000000"/>
          <w:sz w:val="24"/>
          <w:szCs w:val="24"/>
        </w:rPr>
        <w:t>供应商存在以下不良信用记录情形之一的，不得推荐为成交候选供应商，不得确定为成交供应商：</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(1）供应商被人民法院列入失信被执行人的；</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(2）供应商被市场监督管理部门列入企业经营异常名录的；</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(3）供应商被税务部门列入重大税收违法案件当事人名单的；</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(4）供应商被政府采购监管部门列入政府采购严重违法失信行为记录名单的；</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(5）供应商或其法定代表人或拟派项目经理（项目负责人）被人民检察院列入行贿犯罪档案的。</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6.其他要求</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（1）具有信息系统专业类监理资质。</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（2）法律、行政法规规定的其他条件。</w:t>
      </w:r>
    </w:p>
    <w:p>
      <w:pPr>
        <w:spacing w:line="400" w:lineRule="exact"/>
        <w:ind w:firstLine="482" w:firstLineChars="200"/>
        <w:contextualSpacing/>
        <w:rPr>
          <w:rFonts w:ascii="宋体" w:hAnsi="宋体"/>
          <w:b/>
          <w:color w:val="000000"/>
          <w:sz w:val="24"/>
          <w:szCs w:val="24"/>
        </w:rPr>
      </w:pPr>
      <w:bookmarkStart w:id="1" w:name="_Toc399247852"/>
      <w:r>
        <w:rPr>
          <w:rFonts w:hint="eastAsia" w:ascii="宋体" w:hAnsi="宋体"/>
          <w:b/>
          <w:color w:val="000000"/>
          <w:sz w:val="24"/>
          <w:szCs w:val="24"/>
          <w:lang w:eastAsia="zh-CN"/>
        </w:rPr>
        <w:t>二</w:t>
      </w:r>
      <w:r>
        <w:rPr>
          <w:rFonts w:hint="eastAsia" w:ascii="宋体" w:hAnsi="宋体"/>
          <w:b/>
          <w:color w:val="000000"/>
          <w:sz w:val="24"/>
          <w:szCs w:val="24"/>
        </w:rPr>
        <w:t>、项目建设目标</w:t>
      </w:r>
      <w:bookmarkEnd w:id="1"/>
    </w:p>
    <w:p>
      <w:pPr>
        <w:spacing w:line="400" w:lineRule="exact"/>
        <w:ind w:firstLine="480" w:firstLineChars="200"/>
        <w:contextualSpacing/>
        <w:rPr>
          <w:rFonts w:hint="eastAsia" w:ascii="宋体" w:hAnsi="宋体" w:eastAsia="新宋体"/>
          <w:color w:val="000000"/>
          <w:sz w:val="24"/>
          <w:szCs w:val="24"/>
          <w:lang w:eastAsia="zh-CN"/>
        </w:rPr>
      </w:pPr>
      <w:r>
        <w:rPr>
          <w:rFonts w:hint="eastAsia" w:ascii="宋体" w:hAnsi="宋体"/>
          <w:color w:val="000000"/>
          <w:sz w:val="24"/>
          <w:szCs w:val="24"/>
        </w:rPr>
        <w:t>本项目监理对象为</w:t>
      </w:r>
      <w:r>
        <w:rPr>
          <w:rFonts w:hint="eastAsia" w:ascii="宋体" w:hAnsi="宋体"/>
          <w:color w:val="000000"/>
          <w:sz w:val="24"/>
          <w:szCs w:val="24"/>
          <w:lang w:val="en-US" w:eastAsia="zh-CN"/>
        </w:rPr>
        <w:t>2022-2024年度</w:t>
      </w:r>
      <w:r>
        <w:rPr>
          <w:rFonts w:hint="eastAsia" w:ascii="宋体" w:hAnsi="宋体"/>
          <w:color w:val="000000"/>
          <w:sz w:val="24"/>
          <w:szCs w:val="24"/>
        </w:rPr>
        <w:t>马鞍山市人民医院信息化项目，服务期为24个月内投资预算总额约1250.00万元的信息化项目，用完即止。监理服务采用费率制报价，最高限制费率为2%</w:t>
      </w:r>
      <w:r>
        <w:rPr>
          <w:rFonts w:hint="eastAsia" w:ascii="宋体" w:hAnsi="宋体"/>
          <w:color w:val="000000"/>
          <w:sz w:val="24"/>
          <w:szCs w:val="24"/>
          <w:lang w:eastAsia="zh-CN"/>
        </w:rPr>
        <w:t>。</w:t>
      </w:r>
      <w:r>
        <w:rPr>
          <w:rFonts w:hint="eastAsia" w:ascii="宋体" w:hAnsi="宋体"/>
          <w:color w:val="000000"/>
          <w:sz w:val="24"/>
          <w:szCs w:val="24"/>
        </w:rPr>
        <w:t>中标</w:t>
      </w:r>
      <w:r>
        <w:rPr>
          <w:rFonts w:hint="eastAsia" w:ascii="宋体" w:hAnsi="宋体"/>
          <w:color w:val="auto"/>
          <w:sz w:val="24"/>
          <w:szCs w:val="24"/>
        </w:rPr>
        <w:t>人服务期为</w:t>
      </w:r>
      <w:r>
        <w:rPr>
          <w:rFonts w:hint="eastAsia" w:ascii="宋体" w:hAnsi="宋体"/>
          <w:color w:val="auto"/>
          <w:sz w:val="24"/>
          <w:szCs w:val="24"/>
          <w:lang w:val="en-US" w:eastAsia="zh-CN"/>
        </w:rPr>
        <w:t>24</w:t>
      </w:r>
      <w:r>
        <w:rPr>
          <w:rFonts w:hint="eastAsia" w:ascii="宋体" w:hAnsi="宋体"/>
          <w:color w:val="auto"/>
          <w:sz w:val="24"/>
          <w:szCs w:val="24"/>
        </w:rPr>
        <w:t>个月</w:t>
      </w:r>
      <w:r>
        <w:rPr>
          <w:rFonts w:hint="eastAsia" w:ascii="宋体" w:hAnsi="宋体"/>
          <w:color w:val="000000"/>
          <w:sz w:val="24"/>
          <w:szCs w:val="24"/>
        </w:rPr>
        <w:t>，项目实施时间从本项目合同签订之日起至纳入监理范围的信息化项目全部终验合格为止。</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通过本项目的开展，为我院信息化、智能化建设营造一个公平公正，规范高效的建设环境，同时进一步规范信息化工程的监管体系，提升信息化工程质量和绩效。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建设目标主要从以下四个方面体现：</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eastAsia="zh-CN"/>
        </w:rPr>
        <w:t>.</w:t>
      </w:r>
      <w:r>
        <w:rPr>
          <w:rFonts w:hint="eastAsia" w:ascii="宋体" w:hAnsi="宋体"/>
          <w:color w:val="000000"/>
          <w:sz w:val="24"/>
          <w:szCs w:val="24"/>
        </w:rPr>
        <w:t xml:space="preserve"> 监理对象工程实施质量达到或超过预期；</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w:t>
      </w:r>
      <w:r>
        <w:rPr>
          <w:rFonts w:hint="eastAsia" w:ascii="宋体" w:hAnsi="宋体"/>
          <w:color w:val="000000"/>
          <w:sz w:val="24"/>
          <w:szCs w:val="24"/>
          <w:lang w:eastAsia="zh-CN"/>
        </w:rPr>
        <w:t>.</w:t>
      </w:r>
      <w:r>
        <w:rPr>
          <w:rFonts w:hint="eastAsia" w:ascii="宋体" w:hAnsi="宋体"/>
          <w:color w:val="000000"/>
          <w:sz w:val="24"/>
          <w:szCs w:val="24"/>
        </w:rPr>
        <w:t>监理对象进度安排合理，能按期或提前交付；</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w:t>
      </w:r>
      <w:r>
        <w:rPr>
          <w:rFonts w:hint="eastAsia" w:ascii="宋体" w:hAnsi="宋体"/>
          <w:color w:val="000000"/>
          <w:sz w:val="24"/>
          <w:szCs w:val="24"/>
          <w:lang w:eastAsia="zh-CN"/>
        </w:rPr>
        <w:t>.</w:t>
      </w:r>
      <w:r>
        <w:rPr>
          <w:rFonts w:hint="eastAsia" w:ascii="宋体" w:hAnsi="宋体"/>
          <w:color w:val="000000"/>
          <w:sz w:val="24"/>
          <w:szCs w:val="24"/>
        </w:rPr>
        <w:t>监理对象费用布局合理，不存在高费用低产出现象；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w:t>
      </w:r>
      <w:r>
        <w:rPr>
          <w:rFonts w:hint="eastAsia" w:ascii="宋体" w:hAnsi="宋体"/>
          <w:color w:val="000000"/>
          <w:sz w:val="24"/>
          <w:szCs w:val="24"/>
          <w:lang w:eastAsia="zh-CN"/>
        </w:rPr>
        <w:t>.</w:t>
      </w:r>
      <w:r>
        <w:rPr>
          <w:rFonts w:hint="eastAsia" w:ascii="宋体" w:hAnsi="宋体"/>
          <w:color w:val="000000"/>
          <w:sz w:val="24"/>
          <w:szCs w:val="24"/>
        </w:rPr>
        <w:t>监理对象各阶段形成的文档完备，可对后续维保、续建等提供依据。</w:t>
      </w:r>
    </w:p>
    <w:p>
      <w:pPr>
        <w:spacing w:line="400" w:lineRule="exact"/>
        <w:ind w:firstLine="482" w:firstLineChars="200"/>
        <w:contextualSpacing/>
        <w:rPr>
          <w:rFonts w:ascii="宋体" w:hAnsi="宋体"/>
          <w:b/>
          <w:color w:val="000000"/>
          <w:sz w:val="24"/>
          <w:szCs w:val="24"/>
        </w:rPr>
      </w:pPr>
      <w:bookmarkStart w:id="2" w:name="_Toc399247855"/>
      <w:r>
        <w:rPr>
          <w:rFonts w:hint="eastAsia" w:ascii="宋体" w:hAnsi="宋体"/>
          <w:b/>
          <w:color w:val="000000"/>
          <w:sz w:val="24"/>
          <w:szCs w:val="24"/>
          <w:lang w:eastAsia="zh-CN"/>
        </w:rPr>
        <w:t>三</w:t>
      </w:r>
      <w:r>
        <w:rPr>
          <w:rFonts w:hint="eastAsia" w:ascii="宋体" w:hAnsi="宋体"/>
          <w:b/>
          <w:color w:val="000000"/>
          <w:sz w:val="24"/>
          <w:szCs w:val="24"/>
        </w:rPr>
        <w:t>、监理工作内容</w:t>
      </w:r>
      <w:bookmarkEnd w:id="2"/>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中标人应按照《GB/T 19668信息化工程监理规范》等相关国家标准，按照马鞍山市人民医院相关管理规范，按照“四控制、三管理、一协调”的原则开展监理工作，确保项目按计划完成，实现项目建设的目标。本项目监理内容包括：</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A、工程组织及技术总体方案的把关</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1)审核和确认承建单位的总体设计方案；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2)审核和确认项目建设过程中的各种关键技术方案；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 xml:space="preserve">3)审核和确认承建单位的组织和实施方案和承建单位提交的《项目计划》； </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4）审核和确认承建单位的工程质量保证计划、质量控制体系(含质量控制的关键性节点)；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5)审核和确认承建单位的原代码管理方案；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6)审核和确认承建单位的测试方案；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7)审核和确认承建单位的工程进度计划和进度控制节点；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8)审核和确认系统安全性。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 xml:space="preserve"> B、工程质量控制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1、系统集成质量的控制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1)系统集成方案的审核和确认；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2)审核关键设备、系统软件选型方案，对方案的合理性给出监理意见，协助系统集成商和建设方进行选型；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3)对采购的硬件设备的质量进行检验、测试和验收；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4)对设备安装、系统软件的安装调试进行验收；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5)对系统集成进行总体验收。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2、智能化工程质量的控制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1）施工方案的审查，重点审核：施工程序的安排；施工机械工具的配备；主要技术工种人员的配备；</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2）按计划检查承建单位工程实施状况、人员与实施方案的一致性；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3）对提交的《设备/材料采购报验表》和附件材料严格审核，设备到场验货，并收集产品合格证、质保书、检测报告、进口报关等资料；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4）在施工过程中，监理密切监督承建单位在施工材料质量、施工机械的运行与使用情况、计量设备的准确性，上岗人员的组成和变化以及工艺和操作等情况，检查其是否符合要求；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5）按专业施工流程列出各系统关键控制点以及对应的控制手段；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6）对项目实施现场进行每日巡视和定点旁站；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7）对工程实施质量进行监督、评价，必要时通知承建单位返工或停工；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8）隐蔽工程必须经监理方验收后方可进行下一道工序的施工；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9）对调试方案进行审核确认，并按确认的调试方案进行抽测；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10）工程分部分项验收，对报验资料进行审核与现场检查；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11）督促承建单位进行系统联调，并做调试记录；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12）组织工程竣工验收准备，提出竣工验收报告；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13）负责对规定保修期内工程质量的检查，鉴定以及督促责任单位修正。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3、应用软件开发质量的控制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1)软件开发阶段性计划的审核和确认；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2)在对统一应用软件开发的需求分析、概要设计、详细设计了解、掌握的前提下，对数据移植、系统测试联调与系统验收阶段各个开发阶段进行把关；</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3)对承建单位的开发质量记录进行审核；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4)源代码、应用程序及相关文档的移交验收等；</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5)知识产权的控制。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4、人员培训的质量控制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1)审核确认承建单位的培训计划；</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2)监督承建单位实施其培训计划，形成培训记录，并征求用户的反馈意见；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3)监督审查考核工作，评估培训效果；</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4)审核确认承建单位的培训总结报告。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5、工程进度控制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 xml:space="preserve">按照招标单位总体规划进度要求进行总体工期监理，按招标单位与中标人签订的合同中规定的分解进度要求进行工程监理，用合理的进度控制，确保项目按步骤、分阶段、有计划的推进，并能按期完成。 </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1)审查各子项目的系统建设进度计划，监督计划的执行；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2)采用先进的项目管理工具，如：WBS，甘特图等，确定各子项目建设的工序顺序，控制项目施工进度；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3)发现系统建设进程未能按计划进行时，要求中标人调整或修改计划，采取必要措施加快施工进度，以使实际施工进度符合合同的要求；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 当系统建设进度拖后可能导致合同工期严重延误时，有责任作详细报告分析原因和提出对策，供业主采取措施或做出决定。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6、工程投资控制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进行严格的资金控制，在预定经费限额内追求项目成果最大化，协助招标单位审核工程预算和阶段性付款申请、签发付款凭证、处理索赔事宜，使招标单位资金得到合理使用，实际资金不超过预算。</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1)动态管理跟踪项目建设成本，进行成本、费用控制和分析；</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2)审查系统建设进度款申报；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 严格控制和审查项目变更，核算成本和变化量，报招标单位审批；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4)审核中标人工程量清单和工程竣工结算。</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7、工程合同管理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1)跟踪检查合同的执行情况，确保承建单位按时履约；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2)对合同工期的延误和延期进行审核确认；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3)对合同变更、索赔等事宜进行审核确认；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4)根据合同约定，审核承建单位提交的支付申请，签发付款凭证。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8、信息管理／工程文档管理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1)做好监理日记及工程大事记；</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2)做好合同批复等各类往来文件的批复和存档；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3)做好项目协调会、技术专题会等各项会议纪要；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4)管理好实施期间的各类、各方技术文档；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5)做好项目周报；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6)做好监理建议书和监理通知书存档；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7)阶段性项目总结。</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9、关系协调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经业主委托，负责协调本项目所涉及的各承建单位之间的工作关系，并协调解决项目建设过程中的各种纠纷。</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10、项目信息采集与录入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在信息化项目完成招标工作后，监理公司应在监理合同签订三日内将该项目的详细信息按相关要求录入市数据资源管理局业务系统中，以备后期进行资源共享和项目分析。</w:t>
      </w:r>
    </w:p>
    <w:p>
      <w:pPr>
        <w:spacing w:line="400" w:lineRule="exact"/>
        <w:ind w:firstLine="482" w:firstLineChars="200"/>
        <w:contextualSpacing/>
        <w:rPr>
          <w:rFonts w:ascii="宋体" w:hAnsi="宋体"/>
          <w:b/>
          <w:color w:val="000000"/>
          <w:sz w:val="24"/>
          <w:szCs w:val="24"/>
        </w:rPr>
      </w:pPr>
      <w:bookmarkStart w:id="3" w:name="_Toc399247856"/>
      <w:r>
        <w:rPr>
          <w:rFonts w:hint="eastAsia" w:ascii="宋体" w:hAnsi="宋体"/>
          <w:b/>
          <w:color w:val="000000"/>
          <w:sz w:val="24"/>
          <w:szCs w:val="24"/>
          <w:lang w:eastAsia="zh-CN"/>
        </w:rPr>
        <w:t>四</w:t>
      </w:r>
      <w:r>
        <w:rPr>
          <w:rFonts w:hint="eastAsia" w:ascii="宋体" w:hAnsi="宋体"/>
          <w:b/>
          <w:color w:val="000000"/>
          <w:sz w:val="24"/>
          <w:szCs w:val="24"/>
        </w:rPr>
        <w:t>、监理工作任务</w:t>
      </w:r>
      <w:bookmarkEnd w:id="3"/>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各类项目实际监理工作从前期方案咨询阶段开始，前期方案咨询期间，为业主提供相关项目咨询服务。</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1、应用软件系统项目各阶段的监理任务：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本项目监理人应以第三方立场对软件开发、测试、验收、实施进行过程监督和把关，以协助建设单位圆满完成本工程为目的，协调建设单位和承建单位的合作关系，确保监理工作的公正性、公平性、公开性。实际监理工作从前期方案咨询阶段开始，具体监理任务如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A、业务需求调研文档审查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1）前期方案咨询期间，为业主提供相关项目咨询服务；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2）了解工程需求、质量要求，项目总体方案和技术合同附件，以避免因设计失误造成的工程实施问题；</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3）对承建单位的业务需求调研结果文档和进度计划进行审核；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4）审核整个工程进度计划：对承建单位的工程进度计划进行评估和审查；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5）了解承建单位的组织管理和人员到位情况。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B、软件开发阶段的监理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1）审核确认承建方实际到位的项目实施人员与承诺到位的工作人员的一致性；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2）对现场与异地开发人员的工作内容、进度进行审核、监督；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3）软件开发、实施和培训等实施阶段的质量、进度监理评测和验收。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1）检查系统的调试和试运行情况，记录系统试运行数据；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2）按相关测试规范，对试运行期系统进行检测和测试，做出检测或测试报告；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3）对试运行期间系统出现的质量问题进行记录并及时告知建设单位，并责成有关单位解决。跟踪问题整改进展，查找问题发生原因。解决问题后，进行二次检查。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1）协助建设单位准备分阶段验收以及系统整体验收的相关材料。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2）受理承建单位验收申请，对系统验收条件进行审核；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3）对系统验收方案进行评审；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4）组织对系统建设内容进行验收检查，形成相应检查记录；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5）系统验收完毕进入保修阶段的审核与签发移交证书：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6）核实已完成工程的数量、质量，报送建设单位作为支付工程价款的依据。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7）出具竣工验收报告，督促整理承包合同文件的技术档案资料。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E、工程文档的移交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1）系统的设计方案、开发、实施、培训文档以及源代码等全部文档的移交：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2）工程竣工文档的移交；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3）工程项目文档的整体移交。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监理方负责整理记录归档建设单位与承建单位来往的文件、合同、协议及会议记录、电话记录等各种文档。项目验收结束后向建设单位递交完整的项目监理文件。</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2、硬件采购项目各阶段的监理任务: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A、采购准备阶段的监理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1）接受业主的咨询；</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2）针对业主的需求，提出对应的硬件性能参数；</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 为业主提供硬件的相关参考预算。</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B、采购阶段的监理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为业主提供投标文件相关商务条款的咨询服务；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协助业主签订采购合同；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C、硬件安装阶段的监理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对硬件提供方的硬件供货时间、安装计划、计划图纸等前期准备工作进行审查；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根据标书，对硬件设备进行专业的检测，提供检测报告，确保硬件符合标书中的要求；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3）协助业主完成硬件安装过程中的组织协调工作。</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D、硬件试运行阶段的监理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对硬件设备进行试运行检测，记录相关运行情况；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发现运行有问题，及时汇报业主，并要求供货方及时进行整改，确保硬件符合业主的运行需求。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E、硬件验收阶段的监理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1）依据马鞍山市合同履约相关管理办法，监理方配合业主以及市相关单位进行项目验收；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2）硬件验收完毕进入保修阶段的审核与签发移交证书。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F、用户培训的监理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审核供货方的硬件培训计划，确保计划的科学合理；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对培训过程进行记录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G、安装完成后的资料移交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1）硬件采购的设计方案、安装设计图纸的全部移交：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2）硬件设备、材料等的验收文档核实；</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3）安装施工文档的移交；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4）安装竣工文档的移交；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5）项目的整体移交。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H、文档管理及组织协调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监理方负责整理记录归档业主单位与承建单位来往的文件、合同、协议及会议记录、电话记录等各种文档。项目验收结束后向建设单位递交完整的项目监理文件。</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3、系统集成各阶段的监理任务：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A、工程开工前的监理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施工设计方案：开工前，由监理单位组织实施方案的审核，内容包括设计交底，了解工程需求、质量要求，依照设计招标文件，审核总体设计方案和有关的技术合同附件，以避免因设计失误造成的工程实施的障碍；</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2）审批施工组织设计：对施工单位的实施工作准备情况进行监督；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3）审核施工进度计划：对施工单位的施工进度计划进行评估和审查；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4）审核工程实施人员：确认施工方提交的工程实施人员与实际工作人员的一致性；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B、施工准备阶段的监理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1）组织召开项目启动会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2）审批开工申请，确定开工日期；</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3）了解承包商设备订单的订购和运输情况；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4）了解施工条件准备情况；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5）了解承包商工程实施前期的人员组织、施工设备到位情况。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C、施工阶段的监理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1）工程材料、硬件设备、系统软件的质量、到货时间的审核；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2）网络系统工程、软件工程等实施阶段的质量、进度监理评测和验收。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1）监查系统的调试和试运行情况，记录系统试运行数据；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2）对试运行期系统进行检测和或测试，做出检测或测试报告；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3）对试运行期间系统出现的质量问题进行记录，并责成有关单位解决。解决问题后，进行二次监测。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w:t>
      </w:r>
      <w:r>
        <w:rPr>
          <w:rFonts w:hint="eastAsia" w:ascii="宋体" w:hAnsi="宋体"/>
          <w:sz w:val="24"/>
          <w:szCs w:val="24"/>
        </w:rPr>
        <w:t>）依据马鞍山市合同履约相关管理办法，监理方配合业主以及相关单位进行项目验收；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2）系统验收完毕进入保修阶段的审核与签发移交证书；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3）核实已完成工程的数量、质量，报送业主作为支付工程价款的依据。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F、工程结束后的移交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1）系统的设计方案、设计图纸的全部移交：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2）设备、软件、材料等的验收文档核实；</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3）工程施工文档的移交；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4）工程竣工文档的移交；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5）工程项目的整体移交。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G、文档管理及组织协调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监理方负责整理记录归档业主单位与承建单位来往的文件、合同、协议及会议记录、电话记录等各种文档。</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4、智能化工程项目各阶段的监理任务：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A、工程开工前的监理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1）熟悉和审阅设计文件，明确工程的设计意图和各部位的质量要求及各业务系统技术特色；</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2）对所有合同文件进行详细审阅，以利于对工程的管理；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3）建立和健全质量控制和管理体系，制定科学的质量控制制度，将质量管理和控制责任落实到人，并赋予相应的质量控制权限。</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B、施工准备阶段的监理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1）编制监理规划和实施细则，确定质量控制点；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2）依据建设目标和技术要求，制定科学合理，且具有操作性和可控性的质量控制计划；</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3）对承建单位的资质、组织机构及作业人员的上岗资格的控制；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4）对承建单位的资质进行重新审查（包括承建单位的各下属单位和分包商），主要是审查与投标时是否相符，发现问题及时纠正；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5）审核承建单位授权的常驻现场项目经理或代表的资质以及其派驻现场的主要技术、管理人员的资质，对承建单位的实施人员持证上岗情况进行检查；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6）审查承建单位的管理方案或施工组织设计、进度计划和施工方案，并提出意见。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C、施工阶段的监理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1）工程材料、硬件设备到货时间的审核及报验；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进入现场的所有软硬件设备、材料进行检查，按规定进行验收和取样复试，必要时进行复检，不符合要求的不得进场使用。对重要材料、软硬件设备（如大屏、网络设备、UPS等）的安装场所要进行检查。对信息网络系统所使用的软件、硬件设备及其他材料的数量、质量和规格进行检查。使用的产品或者材料均应有产品合格证或有效的权威检测机构的检测报告，设备应进行开箱检查，部分材料、设备还应按有关规定进行抽检，对相关专业设备，应采用符合国家各级部门要求的专业设备进行检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3）检查施工工艺是否按规范和经审批的方案进行；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4）对施工实施现场和过程进行巡视和旁站；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5）主要项目工作各阶段需按有关验收规定，经现场监理人员检查、签署验收。对重要的工程阶段，专业监理人员进行测试或技术复核；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6）要求填写预检工程检查记录，报送项目监理部核查。对预检工程记录的内容到现场进行抽查。对不合格的分项工程，通知承建单位整改，并跟踪复查，合格后准予进行下一道工序；</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7）对信息系统实施人员的技术资格能力和数量进行监控。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1）检查各子系统的调试和试运行情况，记录系统试运行数据；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2）对试运行期系统进行检测和或测试，做出检测或测试报告；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3）对试运行期间系统出现的质量问题进行记录，并及时告知建设单位，并责成有关单位解决。跟踪问题整改进展，查找问题发生原因。解决问题后，进行二次监测。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1）在一个分项工程完成并自检合格后，填写《分项/分部工程施工报验表》报项目监理部。对报验的资料进行审查，并到项目实施现场进行抽查、核查。签认符合要求的分项工程；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2）当智能化工程系统工程达到基本交验条件时，组织各专业系统监理人员对各专业系统的质量情况、功能和性能进行全面检查，对发现影响验收的问题签发《监理通知单》要求承建单位进行整改；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3）对验收计划、方案和项目资料进行审查；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4）依据马鞍山市合同履约相关管理办法，监理方配合业主以及相关单位进行项目验收；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5）系统验收完毕进入保修阶段的审核与签发移交证书；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6）核实已完成工程的数量、质量，报送业主作为支付工程价款的依据。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F、工程结束后的移交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1）系统的设计方案、设计图纸的全部移交：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2）设备、软件、材料等的验收文档核实；</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3）工程施工文档的移交；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4）工程竣工文档的移交；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5）工程项目的整体移交。</w:t>
      </w:r>
    </w:p>
    <w:p>
      <w:pPr>
        <w:spacing w:line="400" w:lineRule="exact"/>
        <w:ind w:left="480"/>
        <w:contextualSpacing/>
        <w:rPr>
          <w:rFonts w:ascii="宋体" w:hAnsi="宋体"/>
          <w:color w:val="000000"/>
          <w:sz w:val="24"/>
          <w:szCs w:val="24"/>
        </w:rPr>
      </w:pPr>
      <w:r>
        <w:rPr>
          <w:rFonts w:hint="eastAsia" w:ascii="宋体" w:hAnsi="宋体"/>
          <w:color w:val="000000"/>
          <w:sz w:val="24"/>
          <w:szCs w:val="24"/>
        </w:rPr>
        <w:t>G、文档管理及组织协调。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监理方负责整理记录归档业主单位与承建单位来往的文件、合同、协议及会议记录、电话记录等各种文档。项目验收结束后向建设单位递交完整的项目监理文件。</w:t>
      </w:r>
      <w:bookmarkStart w:id="4" w:name="_Toc399247857"/>
    </w:p>
    <w:bookmarkEnd w:id="4"/>
    <w:p>
      <w:pPr>
        <w:spacing w:line="400" w:lineRule="exact"/>
        <w:ind w:firstLine="482" w:firstLineChars="200"/>
        <w:contextualSpacing/>
        <w:rPr>
          <w:rFonts w:ascii="宋体" w:hAnsi="宋体"/>
          <w:b/>
          <w:color w:val="000000"/>
          <w:sz w:val="24"/>
          <w:szCs w:val="24"/>
        </w:rPr>
      </w:pPr>
      <w:bookmarkStart w:id="5" w:name="_Toc399247858"/>
      <w:r>
        <w:rPr>
          <w:rFonts w:hint="eastAsia" w:ascii="宋体" w:hAnsi="宋体"/>
          <w:b/>
          <w:color w:val="000000"/>
          <w:sz w:val="24"/>
          <w:szCs w:val="24"/>
          <w:lang w:eastAsia="zh-CN"/>
        </w:rPr>
        <w:t>五</w:t>
      </w:r>
      <w:r>
        <w:rPr>
          <w:rFonts w:hint="eastAsia" w:ascii="宋体" w:hAnsi="宋体"/>
          <w:b/>
          <w:color w:val="000000"/>
          <w:sz w:val="24"/>
          <w:szCs w:val="24"/>
        </w:rPr>
        <w:t>、监理工作要求</w:t>
      </w:r>
      <w:bookmarkEnd w:id="5"/>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马鞍山市设办事处，总监理工程师、专业监理工程师驻办事处负责项目日常施工的全部监理工作，接受建设单位的监督和管理。各专业监理人员需在每个工作日下班前，把当天项目所有相关情况汇报给建设单位。项目负责人需在每日上午向建设单位汇报前一个工作日各项目进展情况及存在问题，并提出切实可行的建议。监理单位进入现场的核心和敏感场所工作，须有建设单位相应的授权许可证明，并严格按照相应的标准规范实施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中标人在合同签订后应提供监理大纲和监理方案，其中监理方案要求包括从项目需求到工程竣工验收全过程，包括建设内容、监理要求、监理内容、质量管理方式、组织实施、进度安排、培训与售后服务、工程分阶段验收和竣工验收等。监理方案应明确监理的各项运行，包括监理人员的相关资料、职能分配及工作流程，各项监理工作的相关负责人等，并认真履行全过程监理职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在承建单位进入工程实施后，负责建立良好的协调和沟通机制，以及必要的工作制度，加强建设单位与工程承建单位之间的多方沟通，使承建单位能够更全面、准确的了解建设单位的实际需求。同时，建设方也能够及时了解项目的进展情况，使建设单位、承建单位和监理方形成良好的合作协调机制，形成合力，高质高效完成项目建设。</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监理方应具备内部项目管理平台，并在本项目中对建设单位开放。监理方要提供监理本工程所需的监理工具。项目建设的全过程有一套明确、合理、可行的标准、流程和检验方式，以及相应的监管办法。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要配合招标方实现项目的关键技术指标在项目实施过程中处于受控状态，及早预测可能影响实施计划的各种因素，及时预防和纠正可能影响系统功能和性能所出现的问题。确保项目保质、按期和在合理的资金预算范围内进行实施建设。</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监理方要对工程质量水平进行综合评定。提交建设方所需要的工程质量技术文档，包括监理日报、周报、月报、测试文档、测试报告和竣工报告等。</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监理方要配合建设单位对各项目进行评估。</w:t>
      </w:r>
    </w:p>
    <w:p>
      <w:pPr>
        <w:spacing w:line="400" w:lineRule="exact"/>
        <w:ind w:firstLine="480" w:firstLineChars="200"/>
        <w:contextualSpacing/>
        <w:rPr>
          <w:rFonts w:hint="eastAsia" w:ascii="宋体" w:hAnsi="宋体"/>
          <w:color w:val="FF0000"/>
          <w:sz w:val="24"/>
          <w:szCs w:val="24"/>
        </w:rPr>
      </w:pPr>
      <w:r>
        <w:rPr>
          <w:rFonts w:hint="eastAsia" w:ascii="宋体" w:hAnsi="宋体"/>
          <w:color w:val="FF0000"/>
          <w:sz w:val="24"/>
          <w:szCs w:val="24"/>
        </w:rPr>
        <w:t>监理方要</w:t>
      </w:r>
      <w:r>
        <w:rPr>
          <w:rFonts w:hint="eastAsia" w:ascii="宋体" w:hAnsi="宋体"/>
          <w:color w:val="FF0000"/>
          <w:sz w:val="24"/>
          <w:szCs w:val="24"/>
          <w:lang w:eastAsia="zh-CN"/>
        </w:rPr>
        <w:t>协助</w:t>
      </w:r>
      <w:r>
        <w:rPr>
          <w:rFonts w:hint="eastAsia" w:ascii="宋体" w:hAnsi="宋体"/>
          <w:color w:val="FF0000"/>
          <w:sz w:val="24"/>
          <w:szCs w:val="24"/>
        </w:rPr>
        <w:t>建设单位对</w:t>
      </w:r>
      <w:r>
        <w:rPr>
          <w:rFonts w:hint="eastAsia" w:ascii="宋体" w:hAnsi="宋体"/>
          <w:color w:val="FF0000"/>
          <w:sz w:val="24"/>
          <w:szCs w:val="24"/>
          <w:lang w:val="en-US" w:eastAsia="zh-CN"/>
        </w:rPr>
        <w:t>10000.00元以下新建、改造项目进行监督管理</w:t>
      </w:r>
      <w:r>
        <w:rPr>
          <w:rFonts w:hint="eastAsia" w:ascii="宋体" w:hAnsi="宋体"/>
          <w:color w:val="FF0000"/>
          <w:sz w:val="24"/>
          <w:szCs w:val="24"/>
        </w:rPr>
        <w:t>。</w:t>
      </w:r>
    </w:p>
    <w:p>
      <w:pPr>
        <w:spacing w:line="400" w:lineRule="exact"/>
        <w:ind w:firstLine="482" w:firstLineChars="200"/>
        <w:contextualSpacing/>
        <w:rPr>
          <w:rFonts w:ascii="宋体" w:hAnsi="宋体"/>
          <w:b/>
          <w:color w:val="000000"/>
          <w:sz w:val="24"/>
          <w:szCs w:val="24"/>
        </w:rPr>
      </w:pPr>
      <w:bookmarkStart w:id="6" w:name="_Toc399247859"/>
      <w:r>
        <w:rPr>
          <w:rFonts w:hint="eastAsia" w:ascii="宋体" w:hAnsi="宋体"/>
          <w:b/>
          <w:color w:val="000000"/>
          <w:sz w:val="24"/>
          <w:szCs w:val="24"/>
          <w:lang w:eastAsia="zh-CN"/>
        </w:rPr>
        <w:t>六</w:t>
      </w:r>
      <w:r>
        <w:rPr>
          <w:rFonts w:hint="eastAsia" w:ascii="宋体" w:hAnsi="宋体"/>
          <w:b/>
          <w:color w:val="000000"/>
          <w:sz w:val="24"/>
          <w:szCs w:val="24"/>
        </w:rPr>
        <w:t>、中标人及监理项目说明</w:t>
      </w:r>
      <w:bookmarkEnd w:id="6"/>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中标人承担合同签订之日起</w:t>
      </w:r>
      <w:r>
        <w:rPr>
          <w:rFonts w:hint="eastAsia" w:ascii="宋体" w:hAnsi="宋体"/>
          <w:color w:val="000000"/>
          <w:sz w:val="24"/>
          <w:szCs w:val="24"/>
          <w:lang w:val="en-US" w:eastAsia="zh-CN"/>
        </w:rPr>
        <w:t>24</w:t>
      </w:r>
      <w:r>
        <w:rPr>
          <w:rFonts w:hint="eastAsia" w:ascii="宋体" w:hAnsi="宋体"/>
          <w:color w:val="000000"/>
          <w:sz w:val="24"/>
          <w:szCs w:val="24"/>
        </w:rPr>
        <w:t>个月内马鞍山市人民医院信息化项目监理服务。</w:t>
      </w:r>
    </w:p>
    <w:p>
      <w:pPr>
        <w:spacing w:line="400" w:lineRule="exact"/>
        <w:ind w:firstLine="482" w:firstLineChars="200"/>
        <w:contextualSpacing/>
        <w:rPr>
          <w:rFonts w:ascii="宋体" w:hAnsi="宋体"/>
          <w:b/>
          <w:color w:val="000000"/>
          <w:sz w:val="24"/>
          <w:szCs w:val="24"/>
        </w:rPr>
      </w:pPr>
      <w:bookmarkStart w:id="7" w:name="_Toc399247860"/>
      <w:r>
        <w:rPr>
          <w:rFonts w:hint="eastAsia" w:ascii="宋体" w:hAnsi="宋体"/>
          <w:b/>
          <w:color w:val="000000"/>
          <w:sz w:val="24"/>
          <w:szCs w:val="24"/>
          <w:lang w:eastAsia="zh-CN"/>
        </w:rPr>
        <w:t>七</w:t>
      </w:r>
      <w:r>
        <w:rPr>
          <w:rFonts w:hint="eastAsia" w:ascii="宋体" w:hAnsi="宋体"/>
          <w:b/>
          <w:color w:val="000000"/>
          <w:sz w:val="24"/>
          <w:szCs w:val="24"/>
        </w:rPr>
        <w:t>、</w:t>
      </w:r>
      <w:bookmarkEnd w:id="7"/>
      <w:r>
        <w:rPr>
          <w:rFonts w:hint="eastAsia" w:ascii="宋体" w:hAnsi="宋体"/>
          <w:b/>
          <w:color w:val="000000"/>
          <w:sz w:val="24"/>
          <w:szCs w:val="24"/>
        </w:rPr>
        <w:t>考核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1、在项目监理过程中，每周将项目进展情况以及项目实施过程的文档送至马鞍山市人民医院，同时监理人员须接受马鞍山市人民医院的监管。对于违反相关规定的监理公司，作出如下处罚: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(1)没有将相关资料送至马鞍山市人民医院，同时无正当理由的，每次支付违约金2000元；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(2)对监理人员进行考勤方面的监管，若发现缺勤，对</w:t>
      </w:r>
      <w:r>
        <w:rPr>
          <w:rFonts w:hint="eastAsia"/>
          <w:sz w:val="24"/>
          <w:szCs w:val="24"/>
        </w:rPr>
        <w:t>项目负责人</w:t>
      </w:r>
      <w:r>
        <w:rPr>
          <w:rFonts w:hint="eastAsia" w:ascii="宋体" w:hAnsi="宋体"/>
          <w:color w:val="000000"/>
          <w:sz w:val="24"/>
          <w:szCs w:val="24"/>
        </w:rPr>
        <w:t>处以1000元/天的违约金，监理人员处以每人500元/天的违约金，所有违约金直接从合同款中扣减；</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(3)监理公司出现监理重大失职的，取消本项目监理资格，并扣减项目监理费用；</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重大失职包括：与承建单位串通，造成项目建设质量不符合标书要求；验收时，相关文档严重缺失的；其他未尽职责，导致项目建设出现重大问题的。</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（4）经监理公司确认可以进行初验的项目，若初验没有通过的，二次验收所需的费用由监理公司承担。</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2、中标人严禁挂靠，也不准将成交项目以任何形式转包或外包。如若发现，</w:t>
      </w:r>
      <w:r>
        <w:rPr>
          <w:rFonts w:hint="eastAsia"/>
          <w:sz w:val="24"/>
          <w:szCs w:val="24"/>
        </w:rPr>
        <w:t>招标人可单方面解除合同</w:t>
      </w:r>
      <w:r>
        <w:rPr>
          <w:rFonts w:hint="eastAsia" w:ascii="宋体" w:hAnsi="宋体"/>
          <w:color w:val="000000"/>
          <w:sz w:val="24"/>
          <w:szCs w:val="24"/>
        </w:rPr>
        <w:t>。</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3、中标人在合同规定期限内须严格遵守马鞍山市人民医院制定的监理管理办法，一旦违反，须接受管理办法中的相关规定。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4、本次马鞍山市人民医院信息化监理定点单位招标中标人服务期为</w:t>
      </w:r>
      <w:r>
        <w:rPr>
          <w:rFonts w:hint="eastAsia" w:ascii="宋体" w:hAnsi="宋体"/>
          <w:color w:val="FF0000"/>
          <w:sz w:val="24"/>
          <w:szCs w:val="24"/>
          <w:lang w:val="en-US" w:eastAsia="zh-CN"/>
        </w:rPr>
        <w:t>24</w:t>
      </w:r>
      <w:r>
        <w:rPr>
          <w:rFonts w:hint="eastAsia" w:ascii="宋体" w:hAnsi="宋体"/>
          <w:color w:val="FF0000"/>
          <w:sz w:val="24"/>
          <w:szCs w:val="24"/>
        </w:rPr>
        <w:t>个月</w:t>
      </w:r>
      <w:r>
        <w:rPr>
          <w:rFonts w:hint="eastAsia" w:ascii="宋体" w:hAnsi="宋体"/>
          <w:color w:val="000000"/>
          <w:sz w:val="24"/>
          <w:szCs w:val="24"/>
        </w:rPr>
        <w:t>，对</w:t>
      </w:r>
      <w:r>
        <w:rPr>
          <w:rFonts w:hint="eastAsia" w:ascii="宋体" w:hAnsi="宋体"/>
          <w:color w:val="FF0000"/>
          <w:sz w:val="24"/>
          <w:szCs w:val="24"/>
        </w:rPr>
        <w:t>合同签订之日起</w:t>
      </w:r>
      <w:r>
        <w:rPr>
          <w:rFonts w:hint="eastAsia" w:ascii="宋体" w:hAnsi="宋体"/>
          <w:color w:val="FF0000"/>
          <w:sz w:val="24"/>
          <w:szCs w:val="24"/>
          <w:lang w:val="en-US" w:eastAsia="zh-CN"/>
        </w:rPr>
        <w:t>24</w:t>
      </w:r>
      <w:r>
        <w:rPr>
          <w:rFonts w:hint="eastAsia" w:ascii="宋体" w:hAnsi="宋体"/>
          <w:color w:val="FF0000"/>
          <w:sz w:val="24"/>
          <w:szCs w:val="24"/>
        </w:rPr>
        <w:t>个月内</w:t>
      </w:r>
      <w:r>
        <w:rPr>
          <w:rFonts w:hint="eastAsia" w:ascii="宋体" w:hAnsi="宋体"/>
          <w:color w:val="000000"/>
          <w:sz w:val="24"/>
          <w:szCs w:val="24"/>
        </w:rPr>
        <w:t>马鞍山市人民医院所有信息化项目提供监理服务，为加强对中标人监理过程质量的把控，招标人对中标人实行年度考核，若考核不合格，招标人将单方面终止合同；若中标人所监理项目中出现重大监理事故、项目建设未按承建方投标书响应文件要求造成项目质量不合格、有高于30%的业主投诉率、监理工程师擅自离岗以及其他未尽监理职责等行为，经查证属实，招标人将单方面终止监理合同。</w:t>
      </w:r>
    </w:p>
    <w:p>
      <w:pPr>
        <w:spacing w:line="400" w:lineRule="exact"/>
        <w:ind w:firstLine="482" w:firstLineChars="200"/>
        <w:contextualSpacing/>
        <w:rPr>
          <w:rFonts w:ascii="宋体" w:hAnsi="宋体"/>
          <w:b/>
          <w:color w:val="000000"/>
          <w:sz w:val="24"/>
          <w:szCs w:val="24"/>
        </w:rPr>
      </w:pPr>
      <w:bookmarkStart w:id="8" w:name="_Toc399247871"/>
      <w:r>
        <w:rPr>
          <w:rFonts w:hint="eastAsia" w:ascii="宋体" w:hAnsi="宋体"/>
          <w:b/>
          <w:color w:val="000000"/>
          <w:sz w:val="24"/>
          <w:szCs w:val="24"/>
          <w:lang w:eastAsia="zh-CN"/>
        </w:rPr>
        <w:t>八</w:t>
      </w:r>
      <w:r>
        <w:rPr>
          <w:rFonts w:hint="eastAsia" w:ascii="宋体" w:hAnsi="宋体"/>
          <w:b/>
          <w:color w:val="000000"/>
          <w:sz w:val="24"/>
          <w:szCs w:val="24"/>
        </w:rPr>
        <w:t>、附件内容：项目资料文档目录</w:t>
      </w:r>
      <w:bookmarkEnd w:id="8"/>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1、软件项目建设承建单位文档目录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4" w:type="dxa"/>
            <w:vAlign w:val="center"/>
          </w:tcPr>
          <w:p>
            <w:pPr>
              <w:spacing w:line="400" w:lineRule="exact"/>
              <w:contextualSpacing/>
              <w:jc w:val="left"/>
              <w:rPr>
                <w:rFonts w:ascii="宋体" w:hAnsi="宋体"/>
                <w:color w:val="000000"/>
                <w:sz w:val="24"/>
                <w:szCs w:val="24"/>
              </w:rPr>
            </w:pPr>
            <w:r>
              <w:rPr>
                <w:rFonts w:hint="eastAsia" w:ascii="宋体" w:hAnsi="宋体"/>
                <w:color w:val="000000"/>
                <w:sz w:val="24"/>
                <w:szCs w:val="24"/>
              </w:rPr>
              <w:t>序号</w:t>
            </w:r>
          </w:p>
        </w:tc>
        <w:tc>
          <w:tcPr>
            <w:tcW w:w="1920" w:type="dxa"/>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文档类别</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软件文档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需求分析说明书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概要设计说明书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详细设计说明书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数据库设计说明书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测试计划</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测试用例</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测试分析报告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接口测试记录</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变更申请</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vAlign w:val="center"/>
          </w:tcPr>
          <w:p>
            <w:pPr>
              <w:spacing w:line="400" w:lineRule="exact"/>
              <w:ind w:firstLine="480" w:firstLineChars="200"/>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2、硬件项目建设承建单位文档目录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rPr>
                <w:rFonts w:ascii="宋体" w:hAnsi="宋体"/>
                <w:color w:val="000000"/>
                <w:sz w:val="24"/>
                <w:szCs w:val="24"/>
              </w:rPr>
            </w:pPr>
            <w:r>
              <w:rPr>
                <w:rFonts w:hint="eastAsia" w:ascii="宋体" w:hAnsi="宋体"/>
                <w:color w:val="000000"/>
                <w:sz w:val="24"/>
                <w:szCs w:val="24"/>
              </w:rPr>
              <w:t>序号</w:t>
            </w:r>
          </w:p>
        </w:tc>
        <w:tc>
          <w:tcPr>
            <w:tcW w:w="1920" w:type="dxa"/>
          </w:tcPr>
          <w:p>
            <w:pPr>
              <w:spacing w:line="400" w:lineRule="exact"/>
              <w:contextualSpacing/>
              <w:rPr>
                <w:rFonts w:ascii="宋体" w:hAnsi="宋体"/>
                <w:color w:val="000000"/>
                <w:sz w:val="24"/>
                <w:szCs w:val="24"/>
              </w:rPr>
            </w:pPr>
            <w:r>
              <w:rPr>
                <w:rFonts w:hint="eastAsia" w:ascii="宋体" w:hAnsi="宋体"/>
                <w:color w:val="000000"/>
                <w:sz w:val="24"/>
                <w:szCs w:val="24"/>
              </w:rPr>
              <w:t>文档类型</w:t>
            </w:r>
          </w:p>
        </w:tc>
        <w:tc>
          <w:tcPr>
            <w:tcW w:w="390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设备文档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设备/材料到货报验单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设备/材料到货检查表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设备加电测试记录表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系统安装手册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系统管理员手册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变更申请</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tcPr>
          <w:p>
            <w:pPr>
              <w:spacing w:line="400" w:lineRule="exact"/>
              <w:ind w:firstLine="480" w:firstLineChars="200"/>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3、系统集成项目建设承建单位文档目录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序号</w:t>
            </w:r>
          </w:p>
        </w:tc>
        <w:tc>
          <w:tcPr>
            <w:tcW w:w="1920" w:type="dxa"/>
          </w:tcPr>
          <w:p>
            <w:pPr>
              <w:spacing w:line="400" w:lineRule="exact"/>
              <w:contextualSpacing/>
              <w:rPr>
                <w:rFonts w:ascii="宋体" w:hAnsi="宋体"/>
                <w:color w:val="000000"/>
                <w:sz w:val="24"/>
                <w:szCs w:val="24"/>
              </w:rPr>
            </w:pPr>
            <w:r>
              <w:rPr>
                <w:rFonts w:hint="eastAsia" w:ascii="宋体" w:hAnsi="宋体"/>
                <w:color w:val="000000"/>
                <w:sz w:val="24"/>
                <w:szCs w:val="24"/>
              </w:rPr>
              <w:t>文档类别</w:t>
            </w:r>
          </w:p>
        </w:tc>
        <w:tc>
          <w:tcPr>
            <w:tcW w:w="390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tcPr>
          <w:p>
            <w:pPr>
              <w:spacing w:line="400" w:lineRule="exact"/>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用户使用意见</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硬件文档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设备/材料到货报验单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设备/材料到货检查表</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设备加电测试记录表</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设备试运行记录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软件文件</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需求分析说明书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概要设计说明书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详细设计说明书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数据库设计说明书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测试方案/计划</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测试用例</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测试分析报告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接口测试记录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23</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24</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25</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26</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变更申请</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27</w:t>
            </w:r>
          </w:p>
        </w:tc>
        <w:tc>
          <w:tcPr>
            <w:tcW w:w="1920" w:type="dxa"/>
            <w:vMerge w:val="continue"/>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28</w:t>
            </w:r>
          </w:p>
        </w:tc>
        <w:tc>
          <w:tcPr>
            <w:tcW w:w="1920" w:type="dxa"/>
            <w:vMerge w:val="continue"/>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tcPr>
          <w:p>
            <w:pPr>
              <w:spacing w:line="400" w:lineRule="exact"/>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4、智能化项目建设承建单位文档目录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rPr>
                <w:rFonts w:ascii="宋体" w:hAnsi="宋体"/>
                <w:color w:val="000000"/>
                <w:sz w:val="24"/>
                <w:szCs w:val="24"/>
              </w:rPr>
            </w:pPr>
            <w:r>
              <w:rPr>
                <w:rFonts w:hint="eastAsia" w:ascii="宋体" w:hAnsi="宋体"/>
                <w:color w:val="000000"/>
                <w:sz w:val="24"/>
                <w:szCs w:val="24"/>
              </w:rPr>
              <w:t>序号</w:t>
            </w:r>
          </w:p>
        </w:tc>
        <w:tc>
          <w:tcPr>
            <w:tcW w:w="192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文档类型</w:t>
            </w:r>
          </w:p>
        </w:tc>
        <w:tc>
          <w:tcPr>
            <w:tcW w:w="390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设备文档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设备/材料到货报验单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设备/材料到货检查表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设备加电测试记录表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系统安装手册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系统管理员手册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施工、技术</w:t>
            </w:r>
          </w:p>
          <w:p>
            <w:pPr>
              <w:spacing w:line="400" w:lineRule="exact"/>
              <w:contextualSpacing/>
              <w:rPr>
                <w:rFonts w:ascii="宋体" w:hAnsi="宋体"/>
                <w:color w:val="000000"/>
                <w:sz w:val="24"/>
                <w:szCs w:val="24"/>
              </w:rPr>
            </w:pPr>
            <w:r>
              <w:rPr>
                <w:rFonts w:hint="eastAsia" w:ascii="宋体" w:hAnsi="宋体"/>
                <w:color w:val="000000"/>
                <w:sz w:val="24"/>
                <w:szCs w:val="24"/>
              </w:rPr>
              <w:t>管理资料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质量管理制度</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施工安全技术措施</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安全员证</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焊工证</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电工操作证</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工程质量检验制度</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工程质量</w:t>
            </w:r>
          </w:p>
          <w:p>
            <w:pPr>
              <w:spacing w:line="400" w:lineRule="exact"/>
              <w:contextualSpacing/>
              <w:rPr>
                <w:rFonts w:ascii="宋体" w:hAnsi="宋体"/>
                <w:color w:val="000000"/>
                <w:sz w:val="24"/>
                <w:szCs w:val="24"/>
              </w:rPr>
            </w:pPr>
            <w:r>
              <w:rPr>
                <w:rFonts w:hint="eastAsia" w:ascii="宋体" w:hAnsi="宋体"/>
                <w:color w:val="000000"/>
                <w:sz w:val="24"/>
                <w:szCs w:val="24"/>
              </w:rPr>
              <w:t>控制资料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图纸会审、设计说明</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变更说明</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隐蔽工程验收记录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系统检测报告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分项、分部工程质量验收记录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竣工验收结论汇总</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竣工图</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34</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35</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36</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tcPr>
          <w:p>
            <w:pPr>
              <w:spacing w:line="400" w:lineRule="exact"/>
              <w:ind w:firstLine="480" w:firstLineChars="200"/>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以上文档资料目录仅供参考，依据项目建设内容的规模和实际情况，项目实际文档有所调整与变动。</w:t>
      </w:r>
    </w:p>
    <w:p>
      <w:pPr>
        <w:spacing w:line="400" w:lineRule="exact"/>
        <w:ind w:left="1" w:firstLine="479" w:firstLineChars="199"/>
        <w:contextualSpacing/>
        <w:rPr>
          <w:rFonts w:ascii="宋体" w:hAnsi="宋体"/>
          <w:b/>
          <w:sz w:val="24"/>
          <w:szCs w:val="24"/>
        </w:rPr>
      </w:pPr>
      <w:r>
        <w:rPr>
          <w:rFonts w:hint="eastAsia" w:ascii="宋体" w:hAnsi="宋体"/>
          <w:b/>
          <w:sz w:val="24"/>
          <w:szCs w:val="24"/>
          <w:lang w:eastAsia="zh-CN"/>
        </w:rPr>
        <w:t>九</w:t>
      </w:r>
      <w:r>
        <w:rPr>
          <w:rFonts w:hint="eastAsia" w:ascii="宋体" w:hAnsi="宋体"/>
          <w:b/>
          <w:sz w:val="24"/>
          <w:szCs w:val="24"/>
        </w:rPr>
        <w:t>、计费标准</w:t>
      </w:r>
    </w:p>
    <w:p>
      <w:pPr>
        <w:spacing w:line="400" w:lineRule="exact"/>
        <w:ind w:firstLine="480" w:firstLineChars="200"/>
        <w:contextualSpacing/>
        <w:rPr>
          <w:sz w:val="24"/>
          <w:szCs w:val="24"/>
        </w:rPr>
      </w:pPr>
      <w:r>
        <w:rPr>
          <w:rFonts w:hint="eastAsia"/>
          <w:sz w:val="24"/>
          <w:szCs w:val="24"/>
        </w:rPr>
        <w:t>本次招标为</w:t>
      </w:r>
      <w:r>
        <w:rPr>
          <w:rFonts w:hint="eastAsia" w:ascii="新宋体" w:hAnsi="新宋体" w:eastAsia="新宋体" w:cs="宋体"/>
          <w:color w:val="000000"/>
          <w:kern w:val="0"/>
          <w:sz w:val="24"/>
          <w:szCs w:val="24"/>
        </w:rPr>
        <w:t>202</w:t>
      </w:r>
      <w:r>
        <w:rPr>
          <w:rFonts w:hint="eastAsia" w:ascii="新宋体" w:hAnsi="新宋体" w:eastAsia="新宋体" w:cs="宋体"/>
          <w:color w:val="000000"/>
          <w:kern w:val="0"/>
          <w:sz w:val="24"/>
          <w:szCs w:val="24"/>
          <w:lang w:val="en-US" w:eastAsia="zh-CN"/>
        </w:rPr>
        <w:t>2</w:t>
      </w:r>
      <w:r>
        <w:rPr>
          <w:rFonts w:hint="eastAsia" w:ascii="新宋体" w:hAnsi="新宋体" w:eastAsia="新宋体" w:cs="宋体"/>
          <w:color w:val="000000"/>
          <w:kern w:val="0"/>
          <w:sz w:val="24"/>
          <w:szCs w:val="24"/>
        </w:rPr>
        <w:t>-202</w:t>
      </w:r>
      <w:r>
        <w:rPr>
          <w:rFonts w:hint="eastAsia" w:ascii="新宋体" w:hAnsi="新宋体" w:eastAsia="新宋体" w:cs="宋体"/>
          <w:color w:val="000000"/>
          <w:kern w:val="0"/>
          <w:sz w:val="24"/>
          <w:szCs w:val="24"/>
          <w:lang w:val="en-US" w:eastAsia="zh-CN"/>
        </w:rPr>
        <w:t>4</w:t>
      </w:r>
      <w:r>
        <w:rPr>
          <w:rFonts w:hint="eastAsia" w:ascii="新宋体" w:hAnsi="新宋体" w:eastAsia="新宋体" w:cs="宋体"/>
          <w:color w:val="000000"/>
          <w:kern w:val="0"/>
          <w:sz w:val="24"/>
          <w:szCs w:val="24"/>
        </w:rPr>
        <w:t>年度</w:t>
      </w:r>
      <w:r>
        <w:rPr>
          <w:rFonts w:hint="eastAsia"/>
          <w:sz w:val="24"/>
          <w:szCs w:val="24"/>
        </w:rPr>
        <w:t>马鞍山市人民医院</w:t>
      </w:r>
      <w:r>
        <w:rPr>
          <w:rFonts w:hint="eastAsia" w:ascii="新宋体" w:hAnsi="新宋体" w:eastAsia="新宋体" w:cs="宋体"/>
          <w:color w:val="000000"/>
          <w:kern w:val="0"/>
          <w:sz w:val="24"/>
          <w:szCs w:val="24"/>
        </w:rPr>
        <w:t>信息化项目监理服务，采用费率制报价，最高限制费率为2%。</w:t>
      </w:r>
    </w:p>
    <w:p>
      <w:pPr>
        <w:pStyle w:val="2"/>
      </w:pPr>
    </w:p>
    <w:p>
      <w:pPr>
        <w:pStyle w:val="2"/>
      </w:pPr>
    </w:p>
    <w:p>
      <w:pPr>
        <w:pStyle w:val="2"/>
      </w:pPr>
    </w:p>
    <w:p>
      <w:pPr>
        <w:pStyle w:val="2"/>
      </w:pPr>
    </w:p>
    <w:p>
      <w:pPr>
        <w:tabs>
          <w:tab w:val="left" w:pos="1050"/>
        </w:tabs>
        <w:spacing w:line="440" w:lineRule="exact"/>
        <w:jc w:val="center"/>
        <w:outlineLvl w:val="2"/>
        <w:rPr>
          <w:rFonts w:ascii="宋体" w:hAnsi="宋体"/>
          <w:b/>
          <w:sz w:val="28"/>
          <w:szCs w:val="28"/>
        </w:rPr>
      </w:pPr>
      <w:r>
        <w:rPr>
          <w:rFonts w:hint="eastAsia" w:ascii="宋体" w:hAnsi="宋体"/>
          <w:b/>
          <w:sz w:val="28"/>
          <w:szCs w:val="28"/>
        </w:rPr>
        <w:t>（二）商务要求</w:t>
      </w:r>
    </w:p>
    <w:p>
      <w:pPr>
        <w:spacing w:line="400" w:lineRule="exact"/>
        <w:ind w:firstLine="480" w:firstLineChars="200"/>
        <w:contextualSpacing/>
        <w:rPr>
          <w:sz w:val="24"/>
          <w:szCs w:val="24"/>
        </w:rPr>
      </w:pPr>
      <w:r>
        <w:rPr>
          <w:rFonts w:hint="eastAsia"/>
          <w:sz w:val="24"/>
          <w:szCs w:val="24"/>
        </w:rPr>
        <w:t>1、人员要求</w:t>
      </w:r>
    </w:p>
    <w:p>
      <w:pPr>
        <w:spacing w:line="400" w:lineRule="exact"/>
        <w:ind w:firstLine="480" w:firstLineChars="200"/>
        <w:contextualSpacing/>
        <w:rPr>
          <w:rFonts w:ascii="宋体" w:hAnsi="宋体"/>
          <w:color w:val="000000"/>
          <w:sz w:val="24"/>
          <w:szCs w:val="24"/>
        </w:rPr>
      </w:pPr>
      <w:r>
        <w:rPr>
          <w:rFonts w:hint="eastAsia"/>
          <w:sz w:val="24"/>
          <w:szCs w:val="24"/>
        </w:rPr>
        <w:t>1.1针对本项目组建不低于3人监理团队，其中须提供3人团队驻马鞍山市服务。后期根据服务项目多少，适当增加监理工程师数量。参加本项目的监理人员均须为中标人目前在职的正式员工。</w:t>
      </w:r>
      <w:r>
        <w:rPr>
          <w:rFonts w:hint="eastAsia" w:ascii="宋体" w:hAnsi="宋体"/>
          <w:color w:val="000000"/>
          <w:sz w:val="24"/>
          <w:szCs w:val="24"/>
        </w:rPr>
        <w:t>具体项目实施中人员安排根据中标人所监理项目金额和项目实际需要确定。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1.2</w:t>
      </w:r>
      <w:r>
        <w:rPr>
          <w:rFonts w:hint="eastAsia"/>
          <w:sz w:val="24"/>
          <w:szCs w:val="24"/>
        </w:rPr>
        <w:t>中标人</w:t>
      </w:r>
      <w:r>
        <w:rPr>
          <w:rFonts w:hint="eastAsia" w:ascii="宋体" w:hAnsi="宋体"/>
          <w:color w:val="000000"/>
          <w:sz w:val="24"/>
          <w:szCs w:val="24"/>
        </w:rPr>
        <w:t>在接收到招标人分发的监理项目时，需在两日内指定监理人员（监理人员须为招标响应文件中的人员）。</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1.3</w:t>
      </w:r>
      <w:r>
        <w:rPr>
          <w:rFonts w:hint="eastAsia"/>
          <w:sz w:val="24"/>
          <w:szCs w:val="24"/>
        </w:rPr>
        <w:t>中标人如更换项目负责人和其它驻场监理人员，须取得招标人同意，否则中标人将承担每人2000元的违约金。</w:t>
      </w:r>
    </w:p>
    <w:p>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2、服务期：自合同签订之日起</w:t>
      </w:r>
      <w:r>
        <w:rPr>
          <w:rFonts w:hint="eastAsia" w:ascii="宋体" w:hAnsi="宋体"/>
          <w:color w:val="000000"/>
          <w:kern w:val="0"/>
          <w:sz w:val="24"/>
          <w:szCs w:val="24"/>
          <w:lang w:val="en-US" w:eastAsia="zh-CN"/>
        </w:rPr>
        <w:t>24</w:t>
      </w:r>
      <w:r>
        <w:rPr>
          <w:rFonts w:hint="eastAsia" w:ascii="宋体" w:hAnsi="宋体"/>
          <w:color w:val="000000"/>
          <w:kern w:val="0"/>
          <w:sz w:val="24"/>
          <w:szCs w:val="24"/>
        </w:rPr>
        <w:t>个月。</w:t>
      </w:r>
    </w:p>
    <w:p>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3、服务地点：马鞍山市。</w:t>
      </w:r>
    </w:p>
    <w:p>
      <w:pPr>
        <w:spacing w:line="360" w:lineRule="auto"/>
        <w:ind w:firstLine="480" w:firstLineChars="200"/>
        <w:rPr>
          <w:rFonts w:ascii="宋体" w:hAnsi="宋体"/>
          <w:color w:val="FF0000"/>
          <w:kern w:val="0"/>
          <w:sz w:val="24"/>
          <w:szCs w:val="24"/>
        </w:rPr>
      </w:pPr>
      <w:r>
        <w:rPr>
          <w:rFonts w:hint="eastAsia" w:ascii="宋体" w:hAnsi="宋体"/>
          <w:color w:val="FF0000"/>
          <w:sz w:val="24"/>
          <w:szCs w:val="24"/>
        </w:rPr>
        <w:t>4、付款方式：</w:t>
      </w:r>
      <w:r>
        <w:rPr>
          <w:rFonts w:hint="eastAsia" w:ascii="宋体" w:hAnsi="宋体"/>
          <w:color w:val="FF0000"/>
          <w:sz w:val="24"/>
          <w:szCs w:val="24"/>
          <w:lang w:eastAsia="zh-CN"/>
        </w:rPr>
        <w:t>按季度支付，</w:t>
      </w:r>
      <w:r>
        <w:rPr>
          <w:rFonts w:hint="eastAsia" w:ascii="宋体" w:hAnsi="宋体"/>
          <w:color w:val="FF0000"/>
          <w:sz w:val="24"/>
          <w:szCs w:val="24"/>
        </w:rPr>
        <w:t>根据</w:t>
      </w:r>
      <w:r>
        <w:rPr>
          <w:rFonts w:hint="eastAsia" w:ascii="宋体" w:hAnsi="宋体"/>
          <w:color w:val="FF0000"/>
          <w:sz w:val="24"/>
          <w:szCs w:val="24"/>
          <w:lang w:eastAsia="zh-CN"/>
        </w:rPr>
        <w:t>已完成竣工验收的项目总金额和监理中标费率计算季度需支付监理费用，收到监理费支付申请</w:t>
      </w:r>
      <w:r>
        <w:rPr>
          <w:rFonts w:hint="eastAsia" w:ascii="宋体" w:hAnsi="宋体"/>
          <w:color w:val="FF0000"/>
          <w:sz w:val="24"/>
          <w:szCs w:val="24"/>
        </w:rPr>
        <w:t>之日起10个工作日内支付</w:t>
      </w:r>
      <w:r>
        <w:rPr>
          <w:rFonts w:hint="eastAsia" w:ascii="宋体" w:hAnsi="宋体"/>
          <w:color w:val="FF0000"/>
          <w:sz w:val="24"/>
          <w:szCs w:val="24"/>
          <w:lang w:eastAsia="zh-CN"/>
        </w:rPr>
        <w:t>监理费</w:t>
      </w:r>
      <w:r>
        <w:rPr>
          <w:rFonts w:hint="eastAsia" w:ascii="宋体" w:hAnsi="宋体"/>
          <w:color w:val="FF0000"/>
          <w:sz w:val="24"/>
          <w:szCs w:val="24"/>
        </w:rPr>
        <w:t>。</w:t>
      </w:r>
    </w:p>
    <w:p>
      <w:pPr>
        <w:pStyle w:val="2"/>
      </w:pPr>
    </w:p>
    <w:p>
      <w:pPr>
        <w:pStyle w:val="2"/>
      </w:pPr>
    </w:p>
    <w:p>
      <w:pPr>
        <w:rPr>
          <w:rFonts w:ascii="宋体" w:hAnsi="宋体"/>
          <w:b/>
          <w:sz w:val="28"/>
          <w:szCs w:val="28"/>
        </w:rPr>
      </w:pPr>
      <w:r>
        <w:rPr>
          <w:rFonts w:hint="eastAsia" w:ascii="宋体" w:hAnsi="宋体"/>
          <w:b/>
          <w:sz w:val="28"/>
          <w:szCs w:val="28"/>
        </w:rPr>
        <w:br w:type="page"/>
      </w:r>
    </w:p>
    <w:p>
      <w:pPr>
        <w:numPr>
          <w:ilvl w:val="0"/>
          <w:numId w:val="2"/>
        </w:numPr>
        <w:tabs>
          <w:tab w:val="left" w:pos="1050"/>
        </w:tabs>
        <w:spacing w:line="440" w:lineRule="exact"/>
        <w:jc w:val="center"/>
        <w:outlineLvl w:val="2"/>
        <w:rPr>
          <w:rFonts w:hint="eastAsia" w:ascii="宋体" w:hAnsi="宋体"/>
          <w:b/>
          <w:sz w:val="28"/>
          <w:szCs w:val="28"/>
        </w:rPr>
      </w:pPr>
      <w:r>
        <w:rPr>
          <w:rFonts w:hint="eastAsia" w:ascii="宋体" w:hAnsi="宋体"/>
          <w:b/>
          <w:sz w:val="28"/>
          <w:szCs w:val="28"/>
          <w:lang w:val="en-US" w:eastAsia="zh-CN"/>
        </w:rPr>
        <w:t>参考</w:t>
      </w:r>
      <w:r>
        <w:rPr>
          <w:rFonts w:hint="eastAsia" w:ascii="宋体" w:hAnsi="宋体"/>
          <w:b/>
          <w:sz w:val="28"/>
          <w:szCs w:val="28"/>
        </w:rPr>
        <w:t>评分细则</w:t>
      </w:r>
    </w:p>
    <w:tbl>
      <w:tblPr>
        <w:tblStyle w:val="7"/>
        <w:tblpPr w:leftFromText="180" w:rightFromText="180" w:vertAnchor="text" w:horzAnchor="page" w:tblpX="1802" w:tblpY="849"/>
        <w:tblOverlap w:val="never"/>
        <w:tblW w:w="9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7"/>
        <w:gridCol w:w="709"/>
        <w:gridCol w:w="7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Align w:val="center"/>
          </w:tcPr>
          <w:p>
            <w:pPr>
              <w:pStyle w:val="6"/>
              <w:spacing w:line="276" w:lineRule="auto"/>
              <w:jc w:val="center"/>
              <w:rPr>
                <w:kern w:val="2"/>
              </w:rPr>
            </w:pPr>
            <w:r>
              <w:rPr>
                <w:rFonts w:hint="eastAsia"/>
              </w:rPr>
              <w:t>评审项目</w:t>
            </w:r>
          </w:p>
        </w:tc>
        <w:tc>
          <w:tcPr>
            <w:tcW w:w="709" w:type="dxa"/>
            <w:vAlign w:val="center"/>
          </w:tcPr>
          <w:p>
            <w:pPr>
              <w:spacing w:line="276" w:lineRule="auto"/>
              <w:jc w:val="center"/>
              <w:rPr>
                <w:rFonts w:ascii="宋体" w:hAnsi="宋体"/>
                <w:sz w:val="24"/>
              </w:rPr>
            </w:pPr>
            <w:r>
              <w:rPr>
                <w:rFonts w:hint="eastAsia" w:ascii="宋体" w:hAnsi="宋体"/>
                <w:sz w:val="24"/>
              </w:rPr>
              <w:t>分值</w:t>
            </w:r>
          </w:p>
        </w:tc>
        <w:tc>
          <w:tcPr>
            <w:tcW w:w="7139" w:type="dxa"/>
            <w:vAlign w:val="center"/>
          </w:tcPr>
          <w:p>
            <w:pPr>
              <w:widowControl/>
              <w:jc w:val="center"/>
              <w:rPr>
                <w:rFonts w:ascii="宋体" w:hAnsi="宋体" w:cs="宋体"/>
                <w:color w:val="000000"/>
                <w:kern w:val="0"/>
                <w:sz w:val="24"/>
              </w:rPr>
            </w:pPr>
            <w:r>
              <w:rPr>
                <w:rFonts w:hint="eastAsia" w:ascii="宋体" w:hAnsi="宋体" w:cs="宋体"/>
                <w:color w:val="000000"/>
                <w:kern w:val="0"/>
                <w:sz w:val="24"/>
              </w:rPr>
              <w:t>评  分  标  准（</w:t>
            </w:r>
            <w:r>
              <w:rPr>
                <w:rFonts w:hint="eastAsia" w:ascii="宋体" w:hAnsi="宋体" w:cs="宋体"/>
                <w:color w:val="FF0000"/>
                <w:sz w:val="24"/>
              </w:rPr>
              <w:t>注：以下排名均允许并列）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restart"/>
            <w:vAlign w:val="center"/>
          </w:tcPr>
          <w:p>
            <w:pPr>
              <w:spacing w:line="360" w:lineRule="auto"/>
              <w:ind w:left="480" w:hanging="480" w:hangingChars="200"/>
              <w:jc w:val="center"/>
              <w:rPr>
                <w:rFonts w:ascii="宋体" w:hAnsi="宋体"/>
                <w:sz w:val="24"/>
              </w:rPr>
            </w:pPr>
            <w:r>
              <w:rPr>
                <w:rFonts w:hint="eastAsia" w:ascii="宋体" w:hAnsi="宋体"/>
                <w:sz w:val="24"/>
              </w:rPr>
              <w:t>监理大纲</w:t>
            </w:r>
          </w:p>
        </w:tc>
        <w:tc>
          <w:tcPr>
            <w:tcW w:w="709" w:type="dxa"/>
            <w:vAlign w:val="center"/>
          </w:tcPr>
          <w:p>
            <w:pPr>
              <w:spacing w:line="276" w:lineRule="auto"/>
              <w:jc w:val="center"/>
              <w:rPr>
                <w:rFonts w:ascii="宋体" w:hAnsi="宋体"/>
                <w:sz w:val="24"/>
              </w:rPr>
            </w:pPr>
            <w:r>
              <w:rPr>
                <w:rFonts w:hint="eastAsia" w:ascii="宋体" w:hAnsi="宋体"/>
                <w:sz w:val="24"/>
              </w:rPr>
              <w:t>3分</w:t>
            </w:r>
          </w:p>
        </w:tc>
        <w:tc>
          <w:tcPr>
            <w:tcW w:w="7139" w:type="dxa"/>
            <w:vAlign w:val="center"/>
          </w:tcPr>
          <w:p>
            <w:pPr>
              <w:pStyle w:val="13"/>
              <w:spacing w:line="360" w:lineRule="auto"/>
              <w:ind w:left="141" w:firstLine="0" w:firstLineChars="0"/>
              <w:jc w:val="left"/>
              <w:rPr>
                <w:rFonts w:ascii="宋体" w:hAnsi="宋体" w:cs="宋体"/>
                <w:sz w:val="24"/>
              </w:rPr>
            </w:pPr>
            <w:r>
              <w:rPr>
                <w:rFonts w:hint="eastAsia" w:ascii="宋体" w:hAnsi="宋体" w:cs="宋体"/>
                <w:sz w:val="24"/>
              </w:rPr>
              <w:t>(1)综合比较供应商针对本项目的监理大纲内容全面性、重点突出程度，制度健全等情况，并对其进行排名：第一名得3分，第二名得2分，第三名得1分，其余得0.5分，未提供不得分。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3分</w:t>
            </w:r>
          </w:p>
        </w:tc>
        <w:tc>
          <w:tcPr>
            <w:tcW w:w="7139" w:type="dxa"/>
            <w:vAlign w:val="center"/>
          </w:tcPr>
          <w:p>
            <w:pPr>
              <w:pStyle w:val="13"/>
              <w:spacing w:line="360" w:lineRule="auto"/>
              <w:ind w:left="141" w:firstLine="0" w:firstLineChars="0"/>
              <w:jc w:val="left"/>
              <w:rPr>
                <w:rFonts w:ascii="宋体" w:hAnsi="宋体" w:cs="宋体"/>
                <w:sz w:val="24"/>
              </w:rPr>
            </w:pPr>
            <w:r>
              <w:rPr>
                <w:rFonts w:hint="eastAsia" w:ascii="宋体" w:hAnsi="宋体" w:cs="宋体"/>
                <w:sz w:val="24"/>
              </w:rPr>
              <w:t>(2)综合比较供应商针对本项目的质量保证措施的科学性、合理性，并对其进行排名：第一名得3分，第二名得2分，第三名得1分，其余得0.5分，未提供不得分。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3分</w:t>
            </w:r>
          </w:p>
        </w:tc>
        <w:tc>
          <w:tcPr>
            <w:tcW w:w="7139" w:type="dxa"/>
            <w:vAlign w:val="center"/>
          </w:tcPr>
          <w:p>
            <w:pPr>
              <w:pStyle w:val="13"/>
              <w:spacing w:line="360" w:lineRule="auto"/>
              <w:ind w:left="142" w:firstLine="0" w:firstLineChars="0"/>
              <w:jc w:val="left"/>
              <w:rPr>
                <w:rFonts w:ascii="宋体" w:hAnsi="宋体" w:cs="宋体"/>
                <w:sz w:val="24"/>
              </w:rPr>
            </w:pPr>
            <w:r>
              <w:rPr>
                <w:rFonts w:hint="eastAsia" w:ascii="宋体" w:hAnsi="宋体" w:cs="宋体"/>
                <w:sz w:val="24"/>
              </w:rPr>
              <w:t>(3)综合比较供应商针对本项目安全生产的控制措施，并对其进行排名：第一名得3分，第二名得2分，第三名得1分，其余得0.5分，未提供不得分。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3分</w:t>
            </w:r>
          </w:p>
        </w:tc>
        <w:tc>
          <w:tcPr>
            <w:tcW w:w="7139" w:type="dxa"/>
            <w:vAlign w:val="center"/>
          </w:tcPr>
          <w:p>
            <w:pPr>
              <w:pStyle w:val="13"/>
              <w:spacing w:line="360" w:lineRule="auto"/>
              <w:ind w:left="142" w:firstLine="0" w:firstLineChars="0"/>
              <w:jc w:val="left"/>
              <w:rPr>
                <w:rFonts w:ascii="宋体" w:hAnsi="宋体" w:cs="宋体"/>
                <w:sz w:val="24"/>
              </w:rPr>
            </w:pPr>
            <w:r>
              <w:rPr>
                <w:rFonts w:hint="eastAsia" w:ascii="宋体" w:hAnsi="宋体" w:cs="宋体"/>
                <w:sz w:val="24"/>
              </w:rPr>
              <w:t>(4) 综合比较供应商针对本项目进度计划及保证措施的科学性、合理性，并对其进行排名：第一名得3分，第二名得2分，第三名得1分，其余得0.5分，未提供不得分。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8"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2分</w:t>
            </w:r>
          </w:p>
        </w:tc>
        <w:tc>
          <w:tcPr>
            <w:tcW w:w="7139" w:type="dxa"/>
            <w:vAlign w:val="center"/>
          </w:tcPr>
          <w:p>
            <w:pPr>
              <w:pStyle w:val="13"/>
              <w:spacing w:line="360" w:lineRule="auto"/>
              <w:ind w:firstLine="240" w:firstLineChars="100"/>
              <w:jc w:val="left"/>
              <w:rPr>
                <w:rFonts w:ascii="宋体" w:hAnsi="宋体" w:cs="宋体"/>
                <w:sz w:val="24"/>
              </w:rPr>
            </w:pPr>
            <w:r>
              <w:rPr>
                <w:rFonts w:hint="eastAsia" w:ascii="宋体" w:hAnsi="宋体" w:cs="宋体"/>
                <w:sz w:val="24"/>
              </w:rPr>
              <w:t>(5) 综合比较供应商针对本项目文明施工的控制措施，并对其进行排名：第一名得2分，第二名得1分，第三名得0.5分，未提供不得分。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2分</w:t>
            </w:r>
          </w:p>
        </w:tc>
        <w:tc>
          <w:tcPr>
            <w:tcW w:w="7139" w:type="dxa"/>
            <w:vAlign w:val="center"/>
          </w:tcPr>
          <w:p>
            <w:pPr>
              <w:pStyle w:val="13"/>
              <w:spacing w:line="360" w:lineRule="auto"/>
              <w:ind w:left="142" w:firstLine="0" w:firstLineChars="0"/>
              <w:jc w:val="left"/>
              <w:rPr>
                <w:rFonts w:ascii="宋体" w:hAnsi="宋体" w:cs="宋体"/>
                <w:sz w:val="24"/>
              </w:rPr>
            </w:pPr>
            <w:r>
              <w:rPr>
                <w:rFonts w:hint="eastAsia" w:ascii="宋体" w:hAnsi="宋体" w:cs="宋体"/>
                <w:sz w:val="24"/>
              </w:rPr>
              <w:t>(6)综合比较供应商针对本项目投资控制措施的科学性、合理性，并对其进行排名：第一名得2分，第二名得1分，第三名得0.5分，未提供不得分。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2分</w:t>
            </w:r>
          </w:p>
        </w:tc>
        <w:tc>
          <w:tcPr>
            <w:tcW w:w="7139" w:type="dxa"/>
            <w:vAlign w:val="center"/>
          </w:tcPr>
          <w:p>
            <w:pPr>
              <w:pStyle w:val="13"/>
              <w:spacing w:line="360" w:lineRule="auto"/>
              <w:ind w:left="142" w:firstLine="0" w:firstLineChars="0"/>
              <w:jc w:val="left"/>
              <w:rPr>
                <w:rFonts w:ascii="宋体" w:hAnsi="宋体" w:cs="宋体"/>
                <w:sz w:val="24"/>
              </w:rPr>
            </w:pPr>
            <w:r>
              <w:rPr>
                <w:rFonts w:hint="eastAsia" w:ascii="宋体" w:hAnsi="宋体" w:cs="宋体"/>
                <w:sz w:val="24"/>
              </w:rPr>
              <w:t>(7)综合比较供应商针对本项目工程合同管理、信息管理措施的科学性、合理性，并对其进行排名：第一名得2分，第二名得1分，其余得0.5分，未提供不得分。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Merge w:val="continue"/>
            <w:vAlign w:val="center"/>
          </w:tcPr>
          <w:p>
            <w:pPr>
              <w:widowControl/>
              <w:jc w:val="left"/>
              <w:rPr>
                <w:rFonts w:ascii="宋体" w:hAnsi="宋体"/>
                <w:sz w:val="24"/>
              </w:rPr>
            </w:pPr>
          </w:p>
        </w:tc>
        <w:tc>
          <w:tcPr>
            <w:tcW w:w="709" w:type="dxa"/>
            <w:vAlign w:val="center"/>
          </w:tcPr>
          <w:p>
            <w:pPr>
              <w:spacing w:line="276" w:lineRule="auto"/>
              <w:jc w:val="center"/>
              <w:rPr>
                <w:rFonts w:ascii="宋体" w:hAnsi="宋体"/>
                <w:sz w:val="24"/>
              </w:rPr>
            </w:pPr>
            <w:r>
              <w:rPr>
                <w:rFonts w:hint="eastAsia" w:ascii="宋体" w:hAnsi="宋体"/>
                <w:sz w:val="24"/>
              </w:rPr>
              <w:t>2分</w:t>
            </w:r>
          </w:p>
        </w:tc>
        <w:tc>
          <w:tcPr>
            <w:tcW w:w="7139" w:type="dxa"/>
            <w:vAlign w:val="center"/>
          </w:tcPr>
          <w:p>
            <w:pPr>
              <w:pStyle w:val="13"/>
              <w:spacing w:line="360" w:lineRule="auto"/>
              <w:ind w:left="142" w:firstLine="0" w:firstLineChars="0"/>
              <w:jc w:val="left"/>
              <w:rPr>
                <w:rFonts w:ascii="宋体" w:hAnsi="宋体" w:cs="宋体"/>
                <w:sz w:val="24"/>
              </w:rPr>
            </w:pPr>
            <w:r>
              <w:rPr>
                <w:rFonts w:hint="eastAsia" w:ascii="宋体" w:hAnsi="宋体" w:cs="宋体"/>
                <w:sz w:val="24"/>
              </w:rPr>
              <w:t>(8)综合比较供应商针对本项目监理提出的合理化建议的合理性、可行性，并对其进行排名：第一名得2分，第二名得1分，其余得0.5分，未提供不得分。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Align w:val="center"/>
          </w:tcPr>
          <w:p>
            <w:pPr>
              <w:pStyle w:val="6"/>
              <w:spacing w:line="276" w:lineRule="auto"/>
              <w:jc w:val="center"/>
              <w:rPr>
                <w:kern w:val="2"/>
              </w:rPr>
            </w:pPr>
            <w:r>
              <w:rPr>
                <w:rFonts w:hint="eastAsia"/>
              </w:rPr>
              <w:t>供应商业绩</w:t>
            </w:r>
          </w:p>
        </w:tc>
        <w:tc>
          <w:tcPr>
            <w:tcW w:w="709" w:type="dxa"/>
            <w:vAlign w:val="center"/>
          </w:tcPr>
          <w:p>
            <w:pPr>
              <w:spacing w:line="276" w:lineRule="auto"/>
              <w:jc w:val="center"/>
              <w:rPr>
                <w:rFonts w:ascii="宋体" w:hAnsi="宋体"/>
                <w:sz w:val="24"/>
              </w:rPr>
            </w:pPr>
            <w:r>
              <w:rPr>
                <w:rFonts w:hint="eastAsia" w:ascii="宋体" w:hAnsi="宋体"/>
                <w:sz w:val="24"/>
              </w:rPr>
              <w:t>3分</w:t>
            </w:r>
          </w:p>
        </w:tc>
        <w:tc>
          <w:tcPr>
            <w:tcW w:w="7139" w:type="dxa"/>
            <w:vAlign w:val="center"/>
          </w:tcPr>
          <w:p>
            <w:pPr>
              <w:pStyle w:val="13"/>
              <w:spacing w:line="360" w:lineRule="auto"/>
              <w:ind w:left="68" w:firstLine="0" w:firstLineChars="0"/>
              <w:jc w:val="left"/>
              <w:rPr>
                <w:rFonts w:ascii="宋体" w:hAnsi="宋体" w:cs="宋体"/>
                <w:sz w:val="24"/>
              </w:rPr>
            </w:pPr>
            <w:r>
              <w:rPr>
                <w:rFonts w:hint="eastAsia" w:ascii="宋体" w:hAnsi="宋体" w:cs="宋体"/>
                <w:sz w:val="24"/>
              </w:rPr>
              <w:t>自2018年1月1日(含)以来（以合同签订时间为准，无合同签订时间磋商小组不予计分），供应商每具有一个同类项目业绩得1分，最多得3分。</w:t>
            </w:r>
          </w:p>
          <w:p>
            <w:pPr>
              <w:snapToGrid w:val="0"/>
              <w:spacing w:line="360" w:lineRule="auto"/>
              <w:jc w:val="left"/>
              <w:rPr>
                <w:rFonts w:ascii="宋体" w:hAnsi="宋体" w:cs="宋体"/>
                <w:color w:val="FF0000"/>
                <w:sz w:val="24"/>
              </w:rPr>
            </w:pPr>
            <w:r>
              <w:rPr>
                <w:rFonts w:hint="eastAsia" w:ascii="宋体" w:hAnsi="宋体" w:cs="宋体"/>
                <w:color w:val="FF0000"/>
                <w:sz w:val="24"/>
              </w:rPr>
              <w:t>注：（1）“同类项目”指信息化项目施工监理。</w:t>
            </w:r>
          </w:p>
          <w:p>
            <w:pPr>
              <w:snapToGrid w:val="0"/>
              <w:spacing w:line="360" w:lineRule="auto"/>
              <w:jc w:val="left"/>
              <w:rPr>
                <w:rFonts w:ascii="宋体" w:hAnsi="宋体" w:cs="宋体"/>
                <w:color w:val="FF0000"/>
                <w:sz w:val="24"/>
              </w:rPr>
            </w:pPr>
            <w:r>
              <w:rPr>
                <w:rFonts w:hint="eastAsia" w:ascii="宋体" w:hAnsi="宋体" w:cs="宋体"/>
                <w:color w:val="FF0000"/>
                <w:sz w:val="24"/>
              </w:rPr>
              <w:t>（2）响应文件中须同时提合同复印件，否则磋商小组不予计分。</w:t>
            </w:r>
          </w:p>
          <w:p>
            <w:pPr>
              <w:snapToGrid w:val="0"/>
              <w:spacing w:line="360" w:lineRule="auto"/>
              <w:jc w:val="left"/>
              <w:rPr>
                <w:rFonts w:ascii="宋体" w:hAnsi="宋体" w:cs="宋体"/>
                <w:b/>
                <w:color w:val="000000"/>
                <w:sz w:val="24"/>
                <w:szCs w:val="22"/>
              </w:rPr>
            </w:pPr>
            <w:r>
              <w:rPr>
                <w:rFonts w:hint="eastAsia" w:ascii="宋体" w:hAnsi="宋体" w:cs="宋体"/>
                <w:color w:val="FF0000"/>
                <w:sz w:val="24"/>
              </w:rPr>
              <w:t>（3）合同内容必须能清楚地反映合同首页、合同标的和盖章页等内容，若合同中未清楚地反映，须提供合同甲方出具的相关证明材料复印件。相关证明材料须含合同甲方公章，公章名称与合同甲方名称一致，且符合以上要求，否则磋商小组不予计分。相关证明材料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Align w:val="center"/>
          </w:tcPr>
          <w:p>
            <w:pPr>
              <w:pStyle w:val="6"/>
              <w:spacing w:line="276" w:lineRule="auto"/>
              <w:jc w:val="center"/>
              <w:rPr>
                <w:kern w:val="2"/>
              </w:rPr>
            </w:pPr>
            <w:r>
              <w:rPr>
                <w:rFonts w:hint="eastAsia"/>
              </w:rPr>
              <w:t>企业实力</w:t>
            </w:r>
          </w:p>
        </w:tc>
        <w:tc>
          <w:tcPr>
            <w:tcW w:w="709" w:type="dxa"/>
            <w:vAlign w:val="center"/>
          </w:tcPr>
          <w:p>
            <w:pPr>
              <w:spacing w:line="276" w:lineRule="auto"/>
              <w:jc w:val="center"/>
              <w:rPr>
                <w:rFonts w:ascii="宋体" w:hAnsi="宋体"/>
                <w:sz w:val="24"/>
              </w:rPr>
            </w:pPr>
            <w:r>
              <w:rPr>
                <w:rFonts w:hint="eastAsia" w:ascii="宋体" w:hAnsi="宋体"/>
                <w:sz w:val="24"/>
              </w:rPr>
              <w:t>5分</w:t>
            </w:r>
          </w:p>
        </w:tc>
        <w:tc>
          <w:tcPr>
            <w:tcW w:w="7139" w:type="dxa"/>
            <w:vAlign w:val="center"/>
          </w:tcPr>
          <w:p>
            <w:pPr>
              <w:spacing w:line="400" w:lineRule="exact"/>
              <w:rPr>
                <w:rFonts w:ascii="宋体" w:hAnsi="宋体"/>
                <w:sz w:val="24"/>
              </w:rPr>
            </w:pPr>
            <w:r>
              <w:rPr>
                <w:rFonts w:hint="eastAsia" w:ascii="宋体" w:hAnsi="宋体"/>
                <w:sz w:val="24"/>
              </w:rPr>
              <w:t>1、供应商同时具有以下证书的得3分，每少一项扣1分，扣完为止。</w:t>
            </w:r>
          </w:p>
          <w:p>
            <w:pPr>
              <w:spacing w:line="400" w:lineRule="exact"/>
              <w:rPr>
                <w:rFonts w:ascii="宋体" w:hAnsi="宋体"/>
                <w:sz w:val="24"/>
              </w:rPr>
            </w:pPr>
            <w:r>
              <w:rPr>
                <w:rFonts w:hint="eastAsia" w:ascii="宋体" w:hAnsi="宋体"/>
                <w:sz w:val="24"/>
              </w:rPr>
              <w:t>（1）具备质量管理体系认证证书且在有效期内；</w:t>
            </w:r>
          </w:p>
          <w:p>
            <w:pPr>
              <w:spacing w:line="400" w:lineRule="exact"/>
              <w:rPr>
                <w:rFonts w:ascii="宋体" w:hAnsi="宋体"/>
                <w:sz w:val="24"/>
              </w:rPr>
            </w:pPr>
            <w:r>
              <w:rPr>
                <w:rFonts w:hint="eastAsia" w:ascii="宋体" w:hAnsi="宋体"/>
                <w:sz w:val="24"/>
              </w:rPr>
              <w:t>（2）具备知识产权管理体系认证证书且在有效期内；</w:t>
            </w:r>
          </w:p>
          <w:p>
            <w:pPr>
              <w:spacing w:line="400" w:lineRule="exact"/>
              <w:rPr>
                <w:rFonts w:ascii="宋体" w:hAnsi="宋体"/>
                <w:sz w:val="24"/>
              </w:rPr>
            </w:pPr>
            <w:r>
              <w:rPr>
                <w:rFonts w:hint="eastAsia" w:ascii="宋体" w:hAnsi="宋体"/>
                <w:sz w:val="24"/>
              </w:rPr>
              <w:t>（3）具备职业健康安全管理体系认证证书且在有效期内；</w:t>
            </w:r>
          </w:p>
          <w:p>
            <w:pPr>
              <w:spacing w:line="400" w:lineRule="exact"/>
              <w:rPr>
                <w:rFonts w:ascii="宋体" w:hAnsi="宋体"/>
                <w:sz w:val="24"/>
              </w:rPr>
            </w:pPr>
            <w:r>
              <w:rPr>
                <w:rFonts w:hint="eastAsia" w:ascii="宋体" w:hAnsi="宋体"/>
                <w:sz w:val="24"/>
              </w:rPr>
              <w:t>（4）具备</w:t>
            </w:r>
            <w:r>
              <w:rPr>
                <w:rFonts w:hint="eastAsia" w:cs="宋体"/>
                <w:color w:val="000000"/>
                <w:sz w:val="24"/>
              </w:rPr>
              <w:t>信息技术服务管理体系认证证书</w:t>
            </w:r>
            <w:r>
              <w:rPr>
                <w:rFonts w:hint="eastAsia" w:ascii="宋体" w:hAnsi="宋体"/>
                <w:sz w:val="24"/>
              </w:rPr>
              <w:t>且在有效期内；</w:t>
            </w:r>
          </w:p>
          <w:p>
            <w:pPr>
              <w:spacing w:line="400" w:lineRule="exact"/>
              <w:rPr>
                <w:rFonts w:ascii="宋体" w:hAnsi="宋体"/>
                <w:sz w:val="24"/>
              </w:rPr>
            </w:pPr>
            <w:r>
              <w:rPr>
                <w:rFonts w:hint="eastAsia" w:ascii="宋体" w:hAnsi="宋体"/>
                <w:sz w:val="24"/>
              </w:rPr>
              <w:t>（5）具备</w:t>
            </w:r>
            <w:r>
              <w:rPr>
                <w:rFonts w:hint="eastAsia" w:cs="宋体"/>
                <w:color w:val="000000"/>
                <w:sz w:val="24"/>
              </w:rPr>
              <w:t>信息安全管理体系认证</w:t>
            </w:r>
            <w:r>
              <w:rPr>
                <w:rFonts w:hint="eastAsia" w:ascii="宋体" w:hAnsi="宋体"/>
                <w:sz w:val="24"/>
              </w:rPr>
              <w:t>证书且在有效期内的；</w:t>
            </w:r>
          </w:p>
          <w:p>
            <w:pPr>
              <w:snapToGrid w:val="0"/>
              <w:spacing w:line="360" w:lineRule="auto"/>
              <w:jc w:val="left"/>
              <w:rPr>
                <w:rFonts w:ascii="宋体" w:hAnsi="宋体" w:cs="宋体"/>
                <w:color w:val="FF0000"/>
                <w:sz w:val="24"/>
              </w:rPr>
            </w:pPr>
            <w:r>
              <w:rPr>
                <w:rFonts w:hint="eastAsia" w:ascii="宋体" w:hAnsi="宋体" w:cs="宋体"/>
                <w:color w:val="FF0000"/>
                <w:sz w:val="24"/>
              </w:rPr>
              <w:t>注：（1）响应文件中须附相关证书复印件或影印件,且满足以上要求，否则磋商小组不予计分。</w:t>
            </w:r>
          </w:p>
          <w:p>
            <w:pPr>
              <w:snapToGrid w:val="0"/>
              <w:spacing w:line="360" w:lineRule="auto"/>
              <w:jc w:val="left"/>
              <w:rPr>
                <w:rFonts w:ascii="宋体" w:hAnsi="宋体" w:cs="宋体"/>
                <w:color w:val="FF0000"/>
                <w:sz w:val="24"/>
              </w:rPr>
            </w:pPr>
            <w:r>
              <w:rPr>
                <w:rFonts w:hint="eastAsia" w:ascii="宋体" w:hAnsi="宋体" w:cs="宋体"/>
                <w:color w:val="FF0000"/>
                <w:sz w:val="24"/>
              </w:rPr>
              <w:t>（2）评审过程中磋商小组有权登录中国国家认证认可监督管理委员会官方网站查询，经查询认证证书不存在或不在有效期内的均不得分。</w:t>
            </w:r>
          </w:p>
          <w:p>
            <w:pPr>
              <w:spacing w:line="360" w:lineRule="auto"/>
              <w:rPr>
                <w:rFonts w:ascii="宋体" w:hAnsi="宋体"/>
                <w:sz w:val="24"/>
              </w:rPr>
            </w:pPr>
            <w:r>
              <w:rPr>
                <w:rFonts w:hint="eastAsia" w:ascii="宋体" w:hAnsi="宋体"/>
                <w:sz w:val="24"/>
              </w:rPr>
              <w:t>2、具有信息安全风险评估服务资质证书的，得1分。</w:t>
            </w:r>
          </w:p>
          <w:p>
            <w:pPr>
              <w:snapToGrid w:val="0"/>
              <w:spacing w:line="360" w:lineRule="auto"/>
              <w:jc w:val="left"/>
              <w:rPr>
                <w:rFonts w:ascii="宋体" w:hAnsi="宋体" w:cs="宋体"/>
                <w:color w:val="FF0000"/>
                <w:sz w:val="24"/>
              </w:rPr>
            </w:pPr>
            <w:r>
              <w:rPr>
                <w:rFonts w:hint="eastAsia" w:ascii="宋体" w:hAnsi="宋体" w:cs="宋体"/>
                <w:color w:val="FF0000"/>
                <w:sz w:val="24"/>
              </w:rPr>
              <w:t>注：响应文件中提供上述证书扫描件或影印件。</w:t>
            </w:r>
          </w:p>
          <w:p>
            <w:pPr>
              <w:spacing w:line="360" w:lineRule="auto"/>
              <w:rPr>
                <w:rFonts w:ascii="宋体" w:hAnsi="宋体"/>
                <w:sz w:val="24"/>
              </w:rPr>
            </w:pPr>
            <w:r>
              <w:rPr>
                <w:rFonts w:hint="eastAsia" w:ascii="宋体" w:hAnsi="宋体"/>
                <w:sz w:val="24"/>
              </w:rPr>
              <w:t>3、具有配套的网络环境数据分析系统软件的，得1分。</w:t>
            </w:r>
          </w:p>
          <w:p>
            <w:pPr>
              <w:snapToGrid w:val="0"/>
              <w:spacing w:line="360" w:lineRule="auto"/>
              <w:jc w:val="left"/>
              <w:rPr>
                <w:rFonts w:ascii="宋体" w:hAnsi="宋体" w:cs="宋体"/>
                <w:color w:val="000000"/>
                <w:sz w:val="24"/>
                <w:szCs w:val="22"/>
              </w:rPr>
            </w:pPr>
            <w:r>
              <w:rPr>
                <w:rFonts w:hint="eastAsia" w:ascii="宋体" w:hAnsi="宋体" w:cs="宋体"/>
                <w:color w:val="FF0000"/>
                <w:sz w:val="24"/>
              </w:rPr>
              <w:t>注：响应文件中提供软件著作权证书扫描件或影印件。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Align w:val="center"/>
          </w:tcPr>
          <w:p>
            <w:pPr>
              <w:pStyle w:val="6"/>
              <w:spacing w:line="276" w:lineRule="auto"/>
              <w:jc w:val="center"/>
            </w:pPr>
            <w:r>
              <w:rPr>
                <w:rFonts w:hint="eastAsia"/>
              </w:rPr>
              <w:t>企业荣誉</w:t>
            </w:r>
          </w:p>
        </w:tc>
        <w:tc>
          <w:tcPr>
            <w:tcW w:w="709" w:type="dxa"/>
            <w:vAlign w:val="center"/>
          </w:tcPr>
          <w:p>
            <w:pPr>
              <w:spacing w:line="276" w:lineRule="auto"/>
              <w:jc w:val="center"/>
              <w:rPr>
                <w:rFonts w:ascii="宋体" w:hAnsi="宋体"/>
                <w:sz w:val="24"/>
              </w:rPr>
            </w:pPr>
            <w:r>
              <w:rPr>
                <w:rFonts w:hint="eastAsia" w:ascii="宋体" w:hAnsi="宋体"/>
                <w:sz w:val="24"/>
              </w:rPr>
              <w:t>2分</w:t>
            </w:r>
          </w:p>
        </w:tc>
        <w:tc>
          <w:tcPr>
            <w:tcW w:w="7139" w:type="dxa"/>
            <w:vAlign w:val="center"/>
          </w:tcPr>
          <w:p>
            <w:pPr>
              <w:spacing w:line="360" w:lineRule="auto"/>
              <w:rPr>
                <w:rFonts w:ascii="宋体" w:hAnsi="宋体"/>
                <w:sz w:val="24"/>
              </w:rPr>
            </w:pPr>
            <w:r>
              <w:rPr>
                <w:rFonts w:ascii="宋体" w:hAnsi="宋体"/>
                <w:sz w:val="24"/>
              </w:rPr>
              <w:t>投标人所监理过的项目获得过省</w:t>
            </w:r>
            <w:r>
              <w:rPr>
                <w:rFonts w:hint="eastAsia" w:ascii="宋体" w:hAnsi="宋体"/>
                <w:sz w:val="24"/>
              </w:rPr>
              <w:t>级及以上（含省级）</w:t>
            </w:r>
            <w:r>
              <w:rPr>
                <w:rFonts w:ascii="宋体" w:hAnsi="宋体"/>
                <w:sz w:val="24"/>
              </w:rPr>
              <w:t>优质工程奖的，每提供1例得</w:t>
            </w:r>
            <w:r>
              <w:rPr>
                <w:rFonts w:hint="eastAsia" w:ascii="宋体" w:hAnsi="宋体"/>
                <w:sz w:val="24"/>
              </w:rPr>
              <w:t>1</w:t>
            </w:r>
            <w:r>
              <w:rPr>
                <w:rFonts w:ascii="宋体" w:hAnsi="宋体"/>
                <w:sz w:val="24"/>
              </w:rPr>
              <w:t>分</w:t>
            </w:r>
            <w:r>
              <w:rPr>
                <w:rFonts w:hint="eastAsia" w:ascii="宋体" w:hAnsi="宋体"/>
                <w:sz w:val="24"/>
              </w:rPr>
              <w:t>，</w:t>
            </w:r>
            <w:r>
              <w:rPr>
                <w:rFonts w:ascii="宋体" w:hAnsi="宋体"/>
                <w:sz w:val="24"/>
              </w:rPr>
              <w:t>本项最高得分</w:t>
            </w:r>
            <w:r>
              <w:rPr>
                <w:rFonts w:hint="eastAsia" w:ascii="宋体" w:hAnsi="宋体"/>
                <w:sz w:val="24"/>
              </w:rPr>
              <w:t>2</w:t>
            </w:r>
            <w:r>
              <w:rPr>
                <w:rFonts w:ascii="宋体" w:hAnsi="宋体"/>
                <w:sz w:val="24"/>
              </w:rPr>
              <w:t>分。</w:t>
            </w:r>
          </w:p>
          <w:p>
            <w:pPr>
              <w:snapToGrid w:val="0"/>
              <w:spacing w:line="360" w:lineRule="auto"/>
              <w:jc w:val="left"/>
              <w:rPr>
                <w:rFonts w:ascii="宋体" w:hAnsi="宋体"/>
                <w:sz w:val="24"/>
              </w:rPr>
            </w:pPr>
            <w:r>
              <w:rPr>
                <w:rFonts w:ascii="宋体" w:hAnsi="宋体" w:cs="宋体"/>
                <w:color w:val="FF0000"/>
                <w:sz w:val="24"/>
              </w:rPr>
              <w:t>注：</w:t>
            </w:r>
            <w:r>
              <w:rPr>
                <w:rFonts w:hint="eastAsia" w:ascii="宋体" w:hAnsi="宋体" w:cs="宋体"/>
                <w:color w:val="FF0000"/>
                <w:sz w:val="24"/>
              </w:rPr>
              <w:t>响应</w:t>
            </w:r>
            <w:r>
              <w:rPr>
                <w:rFonts w:ascii="宋体" w:hAnsi="宋体" w:cs="宋体"/>
                <w:color w:val="FF0000"/>
                <w:sz w:val="24"/>
              </w:rPr>
              <w:t>文件中提供获奖证书、批复、颁奖单位颁奖文件、网上公示截图（具有其中之一即可）等证明材料。以上材料提供扫描件或影印件，须能体现供应商名称，如无法体现，须另附颁奖单位的相关证明材料，未提供或提供不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Align w:val="center"/>
          </w:tcPr>
          <w:p>
            <w:pPr>
              <w:pStyle w:val="6"/>
              <w:spacing w:line="276" w:lineRule="auto"/>
              <w:jc w:val="center"/>
              <w:rPr>
                <w:kern w:val="2"/>
              </w:rPr>
            </w:pPr>
            <w:r>
              <w:rPr>
                <w:rFonts w:hint="eastAsia"/>
              </w:rPr>
              <w:t>人员配备</w:t>
            </w:r>
          </w:p>
        </w:tc>
        <w:tc>
          <w:tcPr>
            <w:tcW w:w="709" w:type="dxa"/>
            <w:vAlign w:val="center"/>
          </w:tcPr>
          <w:p>
            <w:pPr>
              <w:spacing w:line="276" w:lineRule="auto"/>
              <w:jc w:val="center"/>
              <w:rPr>
                <w:rFonts w:ascii="宋体" w:hAnsi="宋体"/>
                <w:sz w:val="24"/>
              </w:rPr>
            </w:pPr>
            <w:r>
              <w:rPr>
                <w:rFonts w:hint="eastAsia" w:ascii="宋体" w:hAnsi="宋体"/>
                <w:sz w:val="24"/>
              </w:rPr>
              <w:t>15分</w:t>
            </w:r>
          </w:p>
        </w:tc>
        <w:tc>
          <w:tcPr>
            <w:tcW w:w="7139" w:type="dxa"/>
            <w:vAlign w:val="center"/>
          </w:tcPr>
          <w:p>
            <w:pPr>
              <w:pStyle w:val="13"/>
              <w:spacing w:line="360" w:lineRule="auto"/>
              <w:ind w:left="68" w:firstLine="0" w:firstLineChars="0"/>
              <w:jc w:val="left"/>
              <w:rPr>
                <w:rFonts w:ascii="宋体" w:hAnsi="宋体" w:cs="宋体"/>
                <w:sz w:val="24"/>
              </w:rPr>
            </w:pPr>
            <w:r>
              <w:rPr>
                <w:rFonts w:hint="eastAsia" w:ascii="宋体" w:hAnsi="宋体" w:cs="宋体"/>
                <w:sz w:val="24"/>
              </w:rPr>
              <w:t>综合比较供应商针对本项目拟配备的人员力量：</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1、项目总监理工程师除具有信息系统监理师证书外，同时具有以下证书得满分5分，每少一项扣1分。</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①信息系统项目管理师证书（人社部</w:t>
            </w:r>
            <w:r>
              <w:rPr>
                <w:rFonts w:hint="eastAsia" w:ascii="宋体" w:hAnsi="宋体" w:cs="宋体"/>
                <w:color w:val="000000"/>
                <w:sz w:val="24"/>
                <w:lang w:eastAsia="zh-CN"/>
              </w:rPr>
              <w:t>门</w:t>
            </w:r>
            <w:r>
              <w:rPr>
                <w:rFonts w:hint="eastAsia" w:ascii="宋体" w:hAnsi="宋体" w:cs="宋体"/>
                <w:color w:val="000000"/>
                <w:sz w:val="24"/>
              </w:rPr>
              <w:t>颁发）</w:t>
            </w:r>
          </w:p>
          <w:p>
            <w:pPr>
              <w:pStyle w:val="13"/>
              <w:spacing w:line="360" w:lineRule="auto"/>
              <w:ind w:left="68" w:firstLine="0" w:firstLineChars="0"/>
              <w:jc w:val="left"/>
              <w:rPr>
                <w:rFonts w:ascii="宋体" w:hAnsi="宋体" w:cs="宋体"/>
                <w:sz w:val="24"/>
              </w:rPr>
            </w:pPr>
            <w:r>
              <w:rPr>
                <w:rFonts w:hint="eastAsia" w:ascii="宋体" w:hAnsi="宋体" w:cs="宋体"/>
                <w:color w:val="000000"/>
                <w:sz w:val="24"/>
              </w:rPr>
              <w:t>②</w:t>
            </w:r>
            <w:r>
              <w:rPr>
                <w:rFonts w:hint="eastAsia" w:ascii="宋体" w:hAnsi="宋体" w:cs="宋体"/>
                <w:sz w:val="24"/>
              </w:rPr>
              <w:t>一级建造师（机电工程）</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 xml:space="preserve">③高级数据库管理工程师（工信部颁发） </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④</w:t>
            </w:r>
            <w:r>
              <w:rPr>
                <w:rFonts w:hint="eastAsia" w:ascii="宋体" w:hAnsi="宋体" w:cs="宋体"/>
                <w:color w:val="000000"/>
                <w:sz w:val="24"/>
              </w:rPr>
              <w:tab/>
            </w:r>
            <w:r>
              <w:rPr>
                <w:rFonts w:hint="eastAsia" w:ascii="宋体" w:hAnsi="宋体" w:cs="宋体"/>
                <w:color w:val="000000"/>
                <w:sz w:val="24"/>
              </w:rPr>
              <w:t>注册信息安全专业人员（中国信息安全测评中心颁发）</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⑤系统集成项目管理工程师证书（人社部</w:t>
            </w:r>
            <w:r>
              <w:rPr>
                <w:rFonts w:hint="eastAsia" w:ascii="宋体" w:hAnsi="宋体" w:cs="宋体"/>
                <w:color w:val="000000"/>
                <w:sz w:val="24"/>
                <w:lang w:eastAsia="zh-CN"/>
              </w:rPr>
              <w:t>门</w:t>
            </w:r>
            <w:r>
              <w:rPr>
                <w:rFonts w:hint="eastAsia" w:ascii="宋体" w:hAnsi="宋体" w:cs="宋体"/>
                <w:color w:val="000000"/>
                <w:sz w:val="24"/>
              </w:rPr>
              <w:t>颁发）</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2、项目总监代表除具有信息系统监理师证书外，同时具有以下证书得满分5分，每少一项扣1分。</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①信息系统项目管理师（人社部</w:t>
            </w:r>
            <w:r>
              <w:rPr>
                <w:rFonts w:hint="eastAsia" w:ascii="宋体" w:hAnsi="宋体" w:cs="宋体"/>
                <w:color w:val="000000"/>
                <w:sz w:val="24"/>
                <w:lang w:eastAsia="zh-CN"/>
              </w:rPr>
              <w:t>门</w:t>
            </w:r>
            <w:r>
              <w:rPr>
                <w:rFonts w:hint="eastAsia" w:ascii="宋体" w:hAnsi="宋体" w:cs="宋体"/>
                <w:color w:val="000000"/>
                <w:sz w:val="24"/>
              </w:rPr>
              <w:t>颁发）</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②系统集成项目管理工程师证书（人社部</w:t>
            </w:r>
            <w:r>
              <w:rPr>
                <w:rFonts w:hint="eastAsia" w:ascii="宋体" w:hAnsi="宋体" w:cs="宋体"/>
                <w:color w:val="000000"/>
                <w:sz w:val="24"/>
                <w:lang w:eastAsia="zh-CN"/>
              </w:rPr>
              <w:t>门</w:t>
            </w:r>
            <w:r>
              <w:rPr>
                <w:rFonts w:hint="eastAsia" w:ascii="宋体" w:hAnsi="宋体" w:cs="宋体"/>
                <w:color w:val="000000"/>
                <w:sz w:val="24"/>
              </w:rPr>
              <w:t>颁发）</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③信息安全工程师（人社部</w:t>
            </w:r>
            <w:r>
              <w:rPr>
                <w:rFonts w:hint="eastAsia" w:ascii="宋体" w:hAnsi="宋体" w:cs="宋体"/>
                <w:color w:val="000000"/>
                <w:sz w:val="24"/>
                <w:lang w:eastAsia="zh-CN"/>
              </w:rPr>
              <w:t>门</w:t>
            </w:r>
            <w:r>
              <w:rPr>
                <w:rFonts w:hint="eastAsia" w:ascii="宋体" w:hAnsi="宋体" w:cs="宋体"/>
                <w:color w:val="000000"/>
                <w:sz w:val="24"/>
              </w:rPr>
              <w:t>颁发）</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④系统架构设计师证书（人社部</w:t>
            </w:r>
            <w:r>
              <w:rPr>
                <w:rFonts w:hint="eastAsia" w:ascii="宋体" w:hAnsi="宋体" w:cs="宋体"/>
                <w:color w:val="000000"/>
                <w:sz w:val="24"/>
                <w:lang w:eastAsia="zh-CN"/>
              </w:rPr>
              <w:t>门</w:t>
            </w:r>
            <w:r>
              <w:rPr>
                <w:rFonts w:hint="eastAsia" w:ascii="宋体" w:hAnsi="宋体" w:cs="宋体"/>
                <w:color w:val="000000"/>
                <w:sz w:val="24"/>
              </w:rPr>
              <w:t>颁发）</w:t>
            </w:r>
          </w:p>
          <w:p>
            <w:pPr>
              <w:pStyle w:val="13"/>
              <w:spacing w:line="360" w:lineRule="auto"/>
              <w:ind w:left="68" w:firstLine="0" w:firstLineChars="0"/>
              <w:jc w:val="left"/>
              <w:rPr>
                <w:rFonts w:ascii="宋体" w:hAnsi="宋体" w:cs="宋体"/>
                <w:color w:val="000000"/>
                <w:sz w:val="24"/>
              </w:rPr>
            </w:pPr>
            <w:r>
              <w:rPr>
                <w:rFonts w:hint="eastAsia" w:ascii="宋体" w:hAnsi="宋体" w:cs="宋体"/>
                <w:color w:val="000000"/>
                <w:sz w:val="24"/>
              </w:rPr>
              <w:t>⑤软件评测师证书（人社部</w:t>
            </w:r>
            <w:r>
              <w:rPr>
                <w:rFonts w:hint="eastAsia" w:ascii="宋体" w:hAnsi="宋体" w:cs="宋体"/>
                <w:color w:val="000000"/>
                <w:sz w:val="24"/>
                <w:lang w:eastAsia="zh-CN"/>
              </w:rPr>
              <w:t>门</w:t>
            </w:r>
            <w:r>
              <w:rPr>
                <w:rFonts w:hint="eastAsia" w:ascii="宋体" w:hAnsi="宋体" w:cs="宋体"/>
                <w:color w:val="000000"/>
                <w:sz w:val="24"/>
              </w:rPr>
              <w:t>颁发）</w:t>
            </w:r>
          </w:p>
          <w:p>
            <w:pPr>
              <w:widowControl/>
              <w:spacing w:line="360" w:lineRule="auto"/>
              <w:jc w:val="left"/>
              <w:rPr>
                <w:rFonts w:ascii="宋体" w:hAnsi="宋体" w:cs="宋体"/>
                <w:color w:val="000000"/>
                <w:sz w:val="24"/>
              </w:rPr>
            </w:pPr>
            <w:r>
              <w:rPr>
                <w:rFonts w:hint="eastAsia" w:ascii="宋体" w:hAnsi="宋体" w:cs="宋体"/>
                <w:color w:val="000000"/>
                <w:sz w:val="24"/>
              </w:rPr>
              <w:t>3、拟派项目监理人员（不含总监、总监代表）</w:t>
            </w:r>
            <w:r>
              <w:rPr>
                <w:rFonts w:hint="eastAsia" w:ascii="宋体" w:hAnsi="宋体" w:cs="宋体"/>
                <w:sz w:val="24"/>
              </w:rPr>
              <w:t>除具有</w:t>
            </w:r>
            <w:r>
              <w:rPr>
                <w:rFonts w:hint="eastAsia" w:ascii="宋体" w:hAnsi="宋体" w:cs="宋体"/>
                <w:color w:val="000000"/>
                <w:sz w:val="24"/>
              </w:rPr>
              <w:t>信息系统监理师证书外，同时具备以下证书的得满分5分，缺一项扣1分，扣完为止。</w:t>
            </w:r>
          </w:p>
          <w:p>
            <w:pPr>
              <w:snapToGrid w:val="0"/>
              <w:spacing w:line="360" w:lineRule="auto"/>
              <w:jc w:val="left"/>
              <w:rPr>
                <w:rFonts w:ascii="宋体" w:hAnsi="宋体" w:cs="宋体"/>
                <w:color w:val="000000"/>
                <w:sz w:val="24"/>
              </w:rPr>
            </w:pPr>
            <w:r>
              <w:rPr>
                <w:rFonts w:hint="eastAsia" w:ascii="宋体" w:hAnsi="宋体" w:cs="宋体"/>
                <w:color w:val="000000"/>
                <w:sz w:val="24"/>
              </w:rPr>
              <w:t>①信息系统项目管理师（人社部</w:t>
            </w:r>
            <w:r>
              <w:rPr>
                <w:rFonts w:hint="eastAsia" w:ascii="宋体" w:hAnsi="宋体" w:cs="宋体"/>
                <w:color w:val="000000"/>
                <w:sz w:val="24"/>
                <w:lang w:eastAsia="zh-CN"/>
              </w:rPr>
              <w:t>门</w:t>
            </w:r>
            <w:r>
              <w:rPr>
                <w:rFonts w:hint="eastAsia" w:ascii="宋体" w:hAnsi="宋体" w:cs="宋体"/>
                <w:color w:val="000000"/>
                <w:sz w:val="24"/>
              </w:rPr>
              <w:t>颁发）</w:t>
            </w:r>
          </w:p>
          <w:p>
            <w:pPr>
              <w:snapToGrid w:val="0"/>
              <w:spacing w:line="360" w:lineRule="auto"/>
              <w:jc w:val="left"/>
              <w:rPr>
                <w:rFonts w:ascii="宋体" w:hAnsi="宋体" w:cs="宋体"/>
                <w:color w:val="000000"/>
                <w:sz w:val="24"/>
              </w:rPr>
            </w:pPr>
            <w:r>
              <w:rPr>
                <w:rFonts w:hint="eastAsia" w:ascii="宋体" w:hAnsi="宋体" w:cs="宋体"/>
                <w:color w:val="000000"/>
                <w:sz w:val="24"/>
              </w:rPr>
              <w:t>②咨询工程师（中国工程咨询协会颁发）；</w:t>
            </w:r>
          </w:p>
          <w:p>
            <w:pPr>
              <w:snapToGrid w:val="0"/>
              <w:spacing w:line="360" w:lineRule="auto"/>
              <w:jc w:val="left"/>
              <w:rPr>
                <w:rFonts w:ascii="宋体" w:hAnsi="宋体" w:cs="宋体"/>
                <w:sz w:val="24"/>
              </w:rPr>
            </w:pPr>
            <w:r>
              <w:rPr>
                <w:rFonts w:hint="eastAsia" w:ascii="宋体" w:hAnsi="宋体" w:cs="宋体"/>
                <w:sz w:val="24"/>
              </w:rPr>
              <w:t>③信息系统项目工程师（人社部</w:t>
            </w:r>
            <w:r>
              <w:rPr>
                <w:rFonts w:hint="eastAsia" w:ascii="宋体" w:hAnsi="宋体" w:cs="宋体"/>
                <w:color w:val="000000"/>
                <w:sz w:val="24"/>
                <w:lang w:eastAsia="zh-CN"/>
              </w:rPr>
              <w:t>门</w:t>
            </w:r>
            <w:r>
              <w:rPr>
                <w:rFonts w:hint="eastAsia" w:ascii="宋体" w:hAnsi="宋体" w:cs="宋体"/>
                <w:sz w:val="24"/>
              </w:rPr>
              <w:t>颁发）</w:t>
            </w:r>
          </w:p>
          <w:p>
            <w:pPr>
              <w:snapToGrid w:val="0"/>
              <w:spacing w:line="360" w:lineRule="auto"/>
              <w:jc w:val="left"/>
              <w:rPr>
                <w:rFonts w:ascii="宋体" w:hAnsi="宋体" w:cs="宋体"/>
                <w:sz w:val="24"/>
              </w:rPr>
            </w:pPr>
            <w:r>
              <w:rPr>
                <w:rFonts w:hint="eastAsia" w:ascii="宋体" w:hAnsi="宋体" w:cs="宋体"/>
                <w:sz w:val="24"/>
              </w:rPr>
              <w:t>④信息系统审计师（中国网络安全审查技术与认证中心颁发）</w:t>
            </w:r>
          </w:p>
          <w:p>
            <w:pPr>
              <w:snapToGrid w:val="0"/>
              <w:spacing w:line="360" w:lineRule="auto"/>
              <w:jc w:val="left"/>
              <w:rPr>
                <w:rFonts w:ascii="宋体" w:hAnsi="宋体" w:cs="宋体"/>
                <w:sz w:val="24"/>
              </w:rPr>
            </w:pPr>
            <w:r>
              <w:rPr>
                <w:rFonts w:hint="eastAsia" w:ascii="宋体" w:hAnsi="宋体" w:cs="宋体"/>
                <w:sz w:val="24"/>
              </w:rPr>
              <w:t>⑤系统分析师（人社部门颁发）</w:t>
            </w:r>
          </w:p>
          <w:p>
            <w:pPr>
              <w:snapToGrid w:val="0"/>
              <w:spacing w:line="360" w:lineRule="auto"/>
              <w:jc w:val="left"/>
              <w:rPr>
                <w:rFonts w:cs="宋体"/>
                <w:sz w:val="24"/>
                <w:szCs w:val="36"/>
              </w:rPr>
            </w:pPr>
            <w:r>
              <w:rPr>
                <w:rFonts w:hint="eastAsia" w:cs="宋体"/>
                <w:sz w:val="24"/>
                <w:szCs w:val="36"/>
              </w:rPr>
              <w:t>注：</w:t>
            </w:r>
          </w:p>
          <w:p>
            <w:pPr>
              <w:snapToGrid w:val="0"/>
              <w:spacing w:line="360" w:lineRule="auto"/>
              <w:jc w:val="left"/>
              <w:rPr>
                <w:rFonts w:ascii="宋体" w:hAnsi="宋体" w:cs="宋体"/>
                <w:color w:val="FF0000"/>
                <w:sz w:val="24"/>
              </w:rPr>
            </w:pPr>
            <w:r>
              <w:rPr>
                <w:rFonts w:hint="eastAsia" w:ascii="宋体" w:hAnsi="宋体" w:cs="宋体"/>
                <w:color w:val="FF0000"/>
                <w:sz w:val="24"/>
              </w:rPr>
              <w:t>（1）提供开标前近三个月供应商为其缴纳社保的证明材料，如为事业单位，可以提供由人力资源与社会保障部门出具的人事关系在投标人单位的证明材料，证明材料体现人员姓名，证明材料的格式详见投标人须知前附表。未提供或未按要求提供的，磋商小组不予计分。</w:t>
            </w:r>
          </w:p>
          <w:p>
            <w:pPr>
              <w:snapToGrid w:val="0"/>
              <w:spacing w:line="360" w:lineRule="auto"/>
              <w:jc w:val="left"/>
              <w:rPr>
                <w:rFonts w:ascii="宋体" w:hAnsi="宋体" w:cs="宋体"/>
                <w:color w:val="FF0000"/>
                <w:sz w:val="24"/>
              </w:rPr>
            </w:pPr>
            <w:r>
              <w:rPr>
                <w:rFonts w:hint="eastAsia" w:ascii="宋体" w:hAnsi="宋体" w:cs="宋体"/>
                <w:color w:val="FF0000"/>
                <w:sz w:val="24"/>
              </w:rPr>
              <w:t>（2）提供证书复印件，否则磋商小组不予计分。</w:t>
            </w:r>
          </w:p>
          <w:p>
            <w:pPr>
              <w:snapToGrid w:val="0"/>
              <w:spacing w:line="360" w:lineRule="auto"/>
              <w:jc w:val="left"/>
              <w:rPr>
                <w:rFonts w:ascii="宋体" w:hAnsi="宋体" w:cs="宋体"/>
                <w:b/>
                <w:color w:val="000000"/>
                <w:sz w:val="24"/>
                <w:szCs w:val="22"/>
              </w:rPr>
            </w:pPr>
            <w:r>
              <w:rPr>
                <w:rFonts w:hint="eastAsia" w:ascii="宋体" w:hAnsi="宋体" w:cs="宋体"/>
                <w:color w:val="FF0000"/>
                <w:sz w:val="24"/>
              </w:rPr>
              <w:t>（3）同一人员具有2个及以上证书的不累计计分,同一证书只计一次分。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1247" w:type="dxa"/>
            <w:vAlign w:val="center"/>
          </w:tcPr>
          <w:p>
            <w:pPr>
              <w:pStyle w:val="6"/>
              <w:widowControl w:val="0"/>
              <w:spacing w:before="0" w:beforeAutospacing="0" w:after="0" w:afterAutospacing="0" w:line="276" w:lineRule="auto"/>
              <w:jc w:val="center"/>
              <w:rPr>
                <w:kern w:val="2"/>
              </w:rPr>
            </w:pPr>
            <w:r>
              <w:rPr>
                <w:rFonts w:hint="eastAsia"/>
              </w:rPr>
              <w:t>报价</w:t>
            </w:r>
          </w:p>
        </w:tc>
        <w:tc>
          <w:tcPr>
            <w:tcW w:w="709" w:type="dxa"/>
            <w:vAlign w:val="center"/>
          </w:tcPr>
          <w:p>
            <w:pPr>
              <w:spacing w:line="276" w:lineRule="auto"/>
              <w:jc w:val="center"/>
              <w:rPr>
                <w:rFonts w:ascii="宋体" w:hAnsi="宋体"/>
                <w:sz w:val="24"/>
              </w:rPr>
            </w:pPr>
            <w:r>
              <w:rPr>
                <w:rFonts w:hint="eastAsia" w:ascii="宋体" w:hAnsi="宋体"/>
                <w:sz w:val="24"/>
              </w:rPr>
              <w:t>5</w:t>
            </w:r>
          </w:p>
        </w:tc>
        <w:tc>
          <w:tcPr>
            <w:tcW w:w="7139" w:type="dxa"/>
            <w:vAlign w:val="center"/>
          </w:tcPr>
          <w:p>
            <w:pPr>
              <w:pStyle w:val="13"/>
              <w:spacing w:line="360" w:lineRule="auto"/>
              <w:ind w:left="68" w:firstLine="0" w:firstLineChars="0"/>
              <w:jc w:val="left"/>
              <w:rPr>
                <w:rFonts w:ascii="宋体" w:hAnsi="宋体" w:cs="宋体"/>
                <w:sz w:val="24"/>
              </w:rPr>
            </w:pPr>
            <w:r>
              <w:rPr>
                <w:rFonts w:hint="eastAsia" w:ascii="宋体" w:hAnsi="宋体" w:cs="宋体"/>
                <w:sz w:val="24"/>
              </w:rPr>
              <w:t>价格分统一采用低价优先法，即满足磋商文件要求且价格最低的报价为评标基准价，其价格分为满分5分。其他投标供应商的价格分统一按照下列公式计算：</w:t>
            </w:r>
          </w:p>
          <w:p>
            <w:pPr>
              <w:pStyle w:val="13"/>
              <w:spacing w:line="360" w:lineRule="auto"/>
              <w:ind w:left="68" w:firstLine="0" w:firstLineChars="0"/>
              <w:jc w:val="left"/>
              <w:rPr>
                <w:rFonts w:ascii="宋体" w:hAnsi="宋体" w:cs="宋体"/>
                <w:kern w:val="0"/>
                <w:sz w:val="24"/>
              </w:rPr>
            </w:pPr>
            <w:r>
              <w:rPr>
                <w:rFonts w:hint="eastAsia" w:ascii="宋体" w:hAnsi="宋体" w:cs="宋体"/>
                <w:sz w:val="24"/>
              </w:rPr>
              <w:t>投标报价得分＝（评标基准价/投标报价）× 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rPr>
        <w:tc>
          <w:tcPr>
            <w:tcW w:w="1247" w:type="dxa"/>
            <w:vAlign w:val="center"/>
          </w:tcPr>
          <w:p>
            <w:pPr>
              <w:pStyle w:val="6"/>
              <w:widowControl w:val="0"/>
              <w:spacing w:before="0" w:beforeAutospacing="0" w:after="0" w:afterAutospacing="0" w:line="276" w:lineRule="auto"/>
              <w:jc w:val="center"/>
              <w:rPr>
                <w:rFonts w:cs="宋体"/>
                <w:kern w:val="2"/>
              </w:rPr>
            </w:pPr>
            <w:r>
              <w:rPr>
                <w:rFonts w:hint="eastAsia" w:cs="宋体"/>
              </w:rPr>
              <w:t>合计</w:t>
            </w:r>
          </w:p>
        </w:tc>
        <w:tc>
          <w:tcPr>
            <w:tcW w:w="709" w:type="dxa"/>
            <w:vAlign w:val="center"/>
          </w:tcPr>
          <w:p>
            <w:pPr>
              <w:spacing w:line="276" w:lineRule="auto"/>
              <w:jc w:val="center"/>
              <w:rPr>
                <w:rFonts w:ascii="宋体" w:hAnsi="宋体" w:cs="宋体"/>
                <w:sz w:val="24"/>
              </w:rPr>
            </w:pPr>
            <w:r>
              <w:rPr>
                <w:rFonts w:hint="eastAsia" w:ascii="宋体" w:hAnsi="宋体" w:cs="宋体"/>
                <w:sz w:val="24"/>
              </w:rPr>
              <w:t>50</w:t>
            </w:r>
          </w:p>
        </w:tc>
        <w:tc>
          <w:tcPr>
            <w:tcW w:w="7139" w:type="dxa"/>
            <w:vAlign w:val="center"/>
          </w:tcPr>
          <w:p>
            <w:pPr>
              <w:pStyle w:val="2"/>
              <w:spacing w:line="276" w:lineRule="auto"/>
              <w:rPr>
                <w:rFonts w:ascii="宋体" w:hAnsi="宋体" w:eastAsia="宋体"/>
                <w:b w:val="0"/>
                <w:sz w:val="24"/>
              </w:rPr>
            </w:pPr>
          </w:p>
        </w:tc>
      </w:tr>
    </w:tbl>
    <w:p>
      <w:pPr>
        <w:pStyle w:val="2"/>
        <w:rPr>
          <w:rFonts w:hint="eastAsia"/>
        </w:rPr>
      </w:pPr>
    </w:p>
    <w:p>
      <w:pPr>
        <w:pStyle w:val="2"/>
        <w:widowControl w:val="0"/>
        <w:numPr>
          <w:ilvl w:val="0"/>
          <w:numId w:val="0"/>
        </w:numPr>
        <w:jc w:val="left"/>
      </w:pPr>
    </w:p>
    <w:p>
      <w:pPr>
        <w:pStyle w:val="2"/>
        <w:widowControl w:val="0"/>
        <w:numPr>
          <w:ilvl w:val="0"/>
          <w:numId w:val="0"/>
        </w:numPr>
        <w:jc w:val="left"/>
      </w:pPr>
    </w:p>
    <w:p>
      <w:pPr>
        <w:pStyle w:val="2"/>
        <w:widowControl w:val="0"/>
        <w:numPr>
          <w:ilvl w:val="0"/>
          <w:numId w:val="0"/>
        </w:numPr>
        <w:jc w:val="left"/>
      </w:pPr>
    </w:p>
    <w:p>
      <w:pPr>
        <w:pStyle w:val="2"/>
        <w:widowControl w:val="0"/>
        <w:numPr>
          <w:ilvl w:val="0"/>
          <w:numId w:val="0"/>
        </w:numPr>
        <w:jc w:val="left"/>
      </w:pPr>
    </w:p>
    <w:p/>
    <w:p>
      <w:pPr>
        <w:pStyle w:val="2"/>
      </w:pPr>
    </w:p>
    <w:p>
      <w:pPr>
        <w:pStyle w:val="2"/>
        <w:tabs>
          <w:tab w:val="left" w:pos="6157"/>
        </w:tabs>
      </w:pPr>
      <w:r>
        <w:rPr>
          <w:rFonts w:hint="eastAsia"/>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79901"/>
    <w:multiLevelType w:val="singleLevel"/>
    <w:tmpl w:val="5A179901"/>
    <w:lvl w:ilvl="0" w:tentative="0">
      <w:start w:val="3"/>
      <w:numFmt w:val="chineseCounting"/>
      <w:suff w:val="nothing"/>
      <w:lvlText w:val="（%1）"/>
      <w:lvlJc w:val="left"/>
      <w:rPr>
        <w:rFonts w:hint="eastAsia"/>
      </w:rPr>
    </w:lvl>
  </w:abstractNum>
  <w:abstractNum w:abstractNumId="1">
    <w:nsid w:val="69A2A868"/>
    <w:multiLevelType w:val="singleLevel"/>
    <w:tmpl w:val="69A2A868"/>
    <w:lvl w:ilvl="0" w:tentative="0">
      <w:start w:val="2"/>
      <w:numFmt w:val="upperLetter"/>
      <w:pStyle w:val="3"/>
      <w:lvlText w:val="%1."/>
      <w:lvlJc w:val="left"/>
      <w:pPr>
        <w:tabs>
          <w:tab w:val="left" w:pos="1800"/>
        </w:tabs>
        <w:ind w:left="1800" w:hanging="36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A3C82"/>
    <w:rsid w:val="00172A27"/>
    <w:rsid w:val="00305288"/>
    <w:rsid w:val="004B4880"/>
    <w:rsid w:val="004F4D4A"/>
    <w:rsid w:val="005601C3"/>
    <w:rsid w:val="00770D3D"/>
    <w:rsid w:val="008B5E0C"/>
    <w:rsid w:val="009B7D97"/>
    <w:rsid w:val="00AB2393"/>
    <w:rsid w:val="00C40F68"/>
    <w:rsid w:val="00ED4372"/>
    <w:rsid w:val="03F0730C"/>
    <w:rsid w:val="04D34C04"/>
    <w:rsid w:val="09C165BB"/>
    <w:rsid w:val="13BC1FD4"/>
    <w:rsid w:val="15D03B49"/>
    <w:rsid w:val="17CD1C32"/>
    <w:rsid w:val="22FB2985"/>
    <w:rsid w:val="24F05116"/>
    <w:rsid w:val="26710D81"/>
    <w:rsid w:val="2AE35BD2"/>
    <w:rsid w:val="2B8235DF"/>
    <w:rsid w:val="2CD04853"/>
    <w:rsid w:val="30C758E8"/>
    <w:rsid w:val="39792015"/>
    <w:rsid w:val="3E7C2123"/>
    <w:rsid w:val="40F77528"/>
    <w:rsid w:val="43910A94"/>
    <w:rsid w:val="456722A4"/>
    <w:rsid w:val="503C13E0"/>
    <w:rsid w:val="519179F8"/>
    <w:rsid w:val="5222392E"/>
    <w:rsid w:val="53BC4406"/>
    <w:rsid w:val="5A3A3D99"/>
    <w:rsid w:val="5B4A3DF2"/>
    <w:rsid w:val="5E277382"/>
    <w:rsid w:val="628E3DCE"/>
    <w:rsid w:val="66D147B6"/>
    <w:rsid w:val="68A541A6"/>
    <w:rsid w:val="6B32574D"/>
    <w:rsid w:val="71610DA7"/>
    <w:rsid w:val="733F50F3"/>
    <w:rsid w:val="75A10786"/>
    <w:rsid w:val="761D40A7"/>
    <w:rsid w:val="7AA2195D"/>
    <w:rsid w:val="7BD77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9"/>
    <w:qFormat/>
    <w:uiPriority w:val="0"/>
    <w:pPr>
      <w:keepNext/>
      <w:numPr>
        <w:ilvl w:val="0"/>
        <w:numId w:val="1"/>
      </w:numPr>
      <w:outlineLvl w:val="0"/>
    </w:pPr>
    <w:rPr>
      <w:rFonts w:ascii="Arial" w:hAnsi="Arial" w:eastAsia="仿宋_GB2312"/>
      <w:sz w:val="28"/>
      <w:szCs w:val="20"/>
      <w:lang w:val="zh-CN" w:bidi="he-IL"/>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jc w:val="left"/>
    </w:pPr>
    <w:rPr>
      <w:rFonts w:ascii="Arial" w:hAnsi="Arial" w:eastAsia="黑体"/>
      <w:b/>
      <w:kern w:val="0"/>
      <w:sz w:val="32"/>
      <w:szCs w:val="20"/>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kern w:val="0"/>
      <w:sz w:val="24"/>
    </w:rPr>
  </w:style>
  <w:style w:type="character" w:customStyle="1" w:styleId="9">
    <w:name w:val="标题 1 字符"/>
    <w:basedOn w:val="8"/>
    <w:link w:val="3"/>
    <w:qFormat/>
    <w:uiPriority w:val="0"/>
    <w:rPr>
      <w:rFonts w:ascii="Arial" w:hAnsi="Arial" w:eastAsia="仿宋_GB2312" w:cs="Times New Roman"/>
      <w:kern w:val="2"/>
      <w:sz w:val="28"/>
      <w:szCs w:val="20"/>
      <w:lang w:val="zh-CN" w:eastAsia="zh-CN" w:bidi="he-IL"/>
    </w:rPr>
  </w:style>
  <w:style w:type="paragraph" w:customStyle="1" w:styleId="10">
    <w:name w:val="正文文字2"/>
    <w:basedOn w:val="2"/>
    <w:qFormat/>
    <w:uiPriority w:val="0"/>
    <w:pPr>
      <w:adjustRightInd w:val="0"/>
      <w:spacing w:after="60" w:line="360" w:lineRule="atLeast"/>
      <w:ind w:left="72" w:leftChars="30" w:right="72" w:rightChars="30"/>
      <w:jc w:val="center"/>
      <w:textAlignment w:val="baseline"/>
    </w:pPr>
    <w:rPr>
      <w:rFonts w:hAnsi="Times New Roman"/>
      <w:b w:val="0"/>
      <w:sz w:val="21"/>
    </w:rPr>
  </w:style>
  <w:style w:type="character" w:customStyle="1" w:styleId="11">
    <w:name w:val="页眉 字符"/>
    <w:basedOn w:val="8"/>
    <w:link w:val="5"/>
    <w:qFormat/>
    <w:uiPriority w:val="0"/>
    <w:rPr>
      <w:kern w:val="2"/>
      <w:sz w:val="18"/>
      <w:szCs w:val="18"/>
    </w:rPr>
  </w:style>
  <w:style w:type="character" w:customStyle="1" w:styleId="12">
    <w:name w:val="页脚 字符"/>
    <w:basedOn w:val="8"/>
    <w:link w:val="4"/>
    <w:qFormat/>
    <w:uiPriority w:val="0"/>
    <w:rPr>
      <w:kern w:val="2"/>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17</Pages>
  <Words>1756</Words>
  <Characters>10015</Characters>
  <Lines>83</Lines>
  <Paragraphs>23</Paragraphs>
  <TotalTime>3</TotalTime>
  <ScaleCrop>false</ScaleCrop>
  <LinksUpToDate>false</LinksUpToDate>
  <CharactersWithSpaces>11748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Administrator</cp:lastModifiedBy>
  <dcterms:modified xsi:type="dcterms:W3CDTF">2022-03-17T09:23:48Z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AC65D64986F94A7EB87CF77A9FC0D894</vt:lpwstr>
  </property>
</Properties>
</file>