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1784" w:tblpY="-944"/>
        <w:tblOverlap w:val="never"/>
        <w:tblW w:w="9136" w:type="dxa"/>
        <w:tblInd w:w="0" w:type="dxa"/>
        <w:tblLayout w:type="fixed"/>
        <w:tblCellMar>
          <w:top w:w="0" w:type="dxa"/>
          <w:left w:w="0" w:type="dxa"/>
          <w:bottom w:w="0" w:type="dxa"/>
          <w:right w:w="0" w:type="dxa"/>
        </w:tblCellMar>
      </w:tblPr>
      <w:tblGrid>
        <w:gridCol w:w="480"/>
        <w:gridCol w:w="1696"/>
        <w:gridCol w:w="2017"/>
        <w:gridCol w:w="1733"/>
        <w:gridCol w:w="1455"/>
        <w:gridCol w:w="1755"/>
      </w:tblGrid>
      <w:tr>
        <w:tblPrEx>
          <w:tblCellMar>
            <w:top w:w="0" w:type="dxa"/>
            <w:left w:w="0" w:type="dxa"/>
            <w:bottom w:w="0" w:type="dxa"/>
            <w:right w:w="0" w:type="dxa"/>
          </w:tblCellMar>
        </w:tblPrEx>
        <w:trPr>
          <w:trHeight w:val="4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序号</w:t>
            </w:r>
          </w:p>
        </w:tc>
        <w:tc>
          <w:tcPr>
            <w:tcW w:w="169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物料名称</w:t>
            </w:r>
          </w:p>
        </w:tc>
        <w:tc>
          <w:tcPr>
            <w:tcW w:w="201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规格型号</w:t>
            </w:r>
          </w:p>
        </w:tc>
        <w:tc>
          <w:tcPr>
            <w:tcW w:w="173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预计年需求数量</w:t>
            </w:r>
          </w:p>
        </w:tc>
        <w:tc>
          <w:tcPr>
            <w:tcW w:w="145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bidi="ar"/>
              </w:rPr>
              <w:t>单价</w:t>
            </w:r>
          </w:p>
        </w:tc>
        <w:tc>
          <w:tcPr>
            <w:tcW w:w="175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预计采购成本（元）</w:t>
            </w:r>
          </w:p>
        </w:tc>
      </w:tr>
      <w:tr>
        <w:tblPrEx>
          <w:tblCellMar>
            <w:top w:w="0" w:type="dxa"/>
            <w:left w:w="0" w:type="dxa"/>
            <w:bottom w:w="0" w:type="dxa"/>
            <w:right w:w="0" w:type="dxa"/>
          </w:tblCellMar>
        </w:tblPrEx>
        <w:trPr>
          <w:trHeight w:val="480" w:hRule="atLeast"/>
        </w:trPr>
        <w:tc>
          <w:tcPr>
            <w:tcW w:w="4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bidi="ar"/>
              </w:rPr>
              <w:t>1</w:t>
            </w:r>
          </w:p>
        </w:tc>
        <w:tc>
          <w:tcPr>
            <w:tcW w:w="169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b w:val="0"/>
                <w:bCs w:val="0"/>
                <w:i w:val="0"/>
                <w:color w:val="000000"/>
                <w:kern w:val="0"/>
                <w:sz w:val="24"/>
                <w:szCs w:val="24"/>
                <w:u w:val="none"/>
                <w:vertAlign w:val="baseline"/>
                <w:lang w:val="en-US" w:eastAsia="zh-CN" w:bidi="ar"/>
              </w:rPr>
              <w:t>免冲洗手消毒剂（外科用）</w:t>
            </w:r>
          </w:p>
        </w:tc>
        <w:tc>
          <w:tcPr>
            <w:tcW w:w="20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不限</w:t>
            </w:r>
          </w:p>
        </w:tc>
        <w:tc>
          <w:tcPr>
            <w:tcW w:w="17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bidi="ar"/>
              </w:rPr>
              <w:t>450000ml</w:t>
            </w:r>
          </w:p>
        </w:tc>
        <w:tc>
          <w:tcPr>
            <w:tcW w:w="14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bidi="ar"/>
              </w:rPr>
              <w:t>0.1206元/ml</w:t>
            </w:r>
          </w:p>
        </w:tc>
        <w:tc>
          <w:tcPr>
            <w:tcW w:w="17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bidi="ar"/>
              </w:rPr>
              <w:t>54300</w:t>
            </w:r>
          </w:p>
        </w:tc>
      </w:tr>
      <w:tr>
        <w:tblPrEx>
          <w:tblCellMar>
            <w:top w:w="0" w:type="dxa"/>
            <w:left w:w="0" w:type="dxa"/>
            <w:bottom w:w="0" w:type="dxa"/>
            <w:right w:w="0" w:type="dxa"/>
          </w:tblCellMar>
        </w:tblPrEx>
        <w:trPr>
          <w:trHeight w:val="480" w:hRule="atLeast"/>
        </w:trPr>
        <w:tc>
          <w:tcPr>
            <w:tcW w:w="4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合计</w:t>
            </w:r>
          </w:p>
        </w:tc>
        <w:tc>
          <w:tcPr>
            <w:tcW w:w="169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20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7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4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54300</w:t>
            </w:r>
          </w:p>
        </w:tc>
      </w:tr>
    </w:tbl>
    <w:p>
      <w:pPr>
        <w:pStyle w:val="3"/>
        <w:keepNext w:val="0"/>
        <w:keepLines w:val="0"/>
        <w:widowControl/>
        <w:suppressLineNumbers w:val="0"/>
        <w:rPr>
          <w:rFonts w:hint="eastAsia"/>
          <w:lang w:val="en-US" w:eastAsia="zh-CN"/>
        </w:rPr>
      </w:pPr>
    </w:p>
    <w:p>
      <w:pPr>
        <w:pStyle w:val="3"/>
        <w:keepNext w:val="0"/>
        <w:keepLines w:val="0"/>
        <w:widowControl/>
        <w:suppressLineNumbers w:val="0"/>
        <w:rPr>
          <w:rFonts w:hint="default" w:ascii="微软雅黑" w:hAnsi="微软雅黑" w:eastAsia="微软雅黑" w:cs="微软雅黑"/>
          <w:i w:val="0"/>
          <w:color w:val="000000"/>
          <w:kern w:val="0"/>
          <w:sz w:val="24"/>
          <w:szCs w:val="24"/>
          <w:u w:val="none"/>
          <w:lang w:val="en-US" w:eastAsia="zh-CN" w:bidi="ar"/>
        </w:rPr>
      </w:pPr>
      <w:r>
        <w:rPr>
          <w:rFonts w:hint="eastAsia"/>
          <w:lang w:val="en-US" w:eastAsia="zh-CN"/>
        </w:rPr>
        <w:t>产品信息：</w:t>
      </w:r>
    </w:p>
    <w:tbl>
      <w:tblPr>
        <w:tblStyle w:val="4"/>
        <w:tblpPr w:leftFromText="180" w:rightFromText="180" w:vertAnchor="text" w:horzAnchor="page" w:tblpX="1827" w:tblpY="454"/>
        <w:tblOverlap w:val="never"/>
        <w:tblW w:w="0" w:type="auto"/>
        <w:tblInd w:w="0" w:type="dxa"/>
        <w:tblLayout w:type="fixed"/>
        <w:tblCellMar>
          <w:top w:w="0" w:type="dxa"/>
          <w:left w:w="0" w:type="dxa"/>
          <w:bottom w:w="0" w:type="dxa"/>
          <w:right w:w="0" w:type="dxa"/>
        </w:tblCellMar>
      </w:tblPr>
      <w:tblGrid>
        <w:gridCol w:w="1668"/>
        <w:gridCol w:w="5896"/>
        <w:gridCol w:w="1396"/>
      </w:tblGrid>
      <w:tr>
        <w:tblPrEx>
          <w:tblCellMar>
            <w:top w:w="0" w:type="dxa"/>
            <w:left w:w="0" w:type="dxa"/>
            <w:bottom w:w="0" w:type="dxa"/>
            <w:right w:w="0" w:type="dxa"/>
          </w:tblCellMar>
        </w:tblPrEx>
        <w:trPr>
          <w:trHeight w:val="340" w:hRule="atLeast"/>
        </w:trPr>
        <w:tc>
          <w:tcPr>
            <w:tcW w:w="166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i w:val="0"/>
                <w:color w:val="000000"/>
                <w:kern w:val="0"/>
                <w:sz w:val="24"/>
                <w:szCs w:val="24"/>
                <w:u w:val="none"/>
                <w:vertAlign w:val="baseline"/>
                <w:lang w:val="en-US" w:eastAsia="zh-CN" w:bidi="ar"/>
              </w:rPr>
            </w:pPr>
            <w:r>
              <w:rPr>
                <w:rFonts w:hint="eastAsia" w:ascii="仿宋" w:hAnsi="仿宋" w:eastAsia="仿宋" w:cs="仿宋"/>
                <w:i w:val="0"/>
                <w:color w:val="000000"/>
                <w:kern w:val="0"/>
                <w:sz w:val="24"/>
                <w:szCs w:val="24"/>
                <w:u w:val="none"/>
                <w:vertAlign w:val="baseline"/>
                <w:lang w:val="en-US" w:eastAsia="zh-CN" w:bidi="ar"/>
              </w:rPr>
              <w:t>品名</w:t>
            </w:r>
          </w:p>
        </w:tc>
        <w:tc>
          <w:tcPr>
            <w:tcW w:w="589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textAlignment w:val="center"/>
              <w:rPr>
                <w:rFonts w:hint="eastAsia" w:ascii="仿宋" w:hAnsi="仿宋" w:eastAsia="仿宋" w:cs="仿宋"/>
                <w:i w:val="0"/>
                <w:color w:val="000000"/>
                <w:kern w:val="0"/>
                <w:sz w:val="24"/>
                <w:szCs w:val="24"/>
                <w:u w:val="none"/>
                <w:vertAlign w:val="baseline"/>
                <w:lang w:val="en-US" w:eastAsia="zh-CN" w:bidi="ar"/>
              </w:rPr>
            </w:pPr>
            <w:r>
              <w:rPr>
                <w:rFonts w:hint="eastAsia" w:ascii="仿宋" w:hAnsi="仿宋" w:eastAsia="仿宋" w:cs="仿宋"/>
                <w:i w:val="0"/>
                <w:color w:val="000000"/>
                <w:kern w:val="0"/>
                <w:sz w:val="24"/>
                <w:szCs w:val="24"/>
                <w:u w:val="none"/>
                <w:vertAlign w:val="baseline"/>
                <w:lang w:val="en-US" w:eastAsia="zh-CN" w:bidi="ar"/>
              </w:rPr>
              <w:t>参数</w:t>
            </w:r>
          </w:p>
        </w:tc>
        <w:tc>
          <w:tcPr>
            <w:tcW w:w="139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仿宋" w:hAnsi="仿宋" w:eastAsia="仿宋" w:cs="仿宋"/>
                <w:i w:val="0"/>
                <w:color w:val="000000"/>
                <w:kern w:val="0"/>
                <w:sz w:val="24"/>
                <w:szCs w:val="24"/>
                <w:u w:val="none"/>
                <w:vertAlign w:val="baseline"/>
                <w:lang w:val="en-US" w:eastAsia="zh-CN" w:bidi="ar"/>
              </w:rPr>
            </w:pPr>
            <w:r>
              <w:rPr>
                <w:rFonts w:hint="eastAsia" w:ascii="仿宋" w:hAnsi="仿宋" w:eastAsia="仿宋" w:cs="仿宋"/>
                <w:i w:val="0"/>
                <w:color w:val="000000"/>
                <w:kern w:val="0"/>
                <w:sz w:val="24"/>
                <w:szCs w:val="24"/>
                <w:u w:val="none"/>
                <w:vertAlign w:val="baseline"/>
                <w:lang w:val="en-US" w:eastAsia="zh-CN" w:bidi="ar"/>
              </w:rPr>
              <w:t>使用范围</w:t>
            </w:r>
          </w:p>
        </w:tc>
      </w:tr>
      <w:tr>
        <w:tblPrEx>
          <w:tblCellMar>
            <w:top w:w="0" w:type="dxa"/>
            <w:left w:w="0" w:type="dxa"/>
            <w:bottom w:w="0" w:type="dxa"/>
            <w:right w:w="0" w:type="dxa"/>
          </w:tblCellMar>
        </w:tblPrEx>
        <w:trPr>
          <w:trHeight w:val="340" w:hRule="atLeast"/>
        </w:trPr>
        <w:tc>
          <w:tcPr>
            <w:tcW w:w="1668"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jc w:val="center"/>
              <w:textAlignment w:val="center"/>
              <w:rPr>
                <w:rFonts w:hint="eastAsia"/>
                <w:lang w:val="en-US" w:eastAsia="zh-CN"/>
              </w:rPr>
            </w:pPr>
            <w:r>
              <w:rPr>
                <w:rFonts w:hint="eastAsia"/>
                <w:lang w:val="en-US" w:eastAsia="zh-CN"/>
              </w:rPr>
              <w:t>免冲洗手消毒剂（外科用）</w:t>
            </w:r>
          </w:p>
          <w:p>
            <w:pPr>
              <w:pStyle w:val="2"/>
              <w:rPr>
                <w:rFonts w:hint="default"/>
                <w:lang w:val="en-US" w:eastAsia="zh-CN"/>
              </w:rPr>
            </w:pPr>
          </w:p>
        </w:tc>
        <w:tc>
          <w:tcPr>
            <w:tcW w:w="589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left"/>
              <w:textAlignment w:val="center"/>
              <w:rPr>
                <w:rFonts w:hint="default" w:ascii="仿宋" w:hAnsi="仿宋" w:eastAsia="仿宋" w:cs="仿宋"/>
                <w:i w:val="0"/>
                <w:color w:val="000000"/>
                <w:kern w:val="0"/>
                <w:sz w:val="24"/>
                <w:szCs w:val="24"/>
                <w:u w:val="none"/>
                <w:vertAlign w:val="baseline"/>
                <w:lang w:val="en-US" w:eastAsia="zh-CN" w:bidi="ar"/>
              </w:rPr>
            </w:pPr>
            <w:r>
              <w:rPr>
                <w:rFonts w:hint="eastAsia" w:ascii="仿宋" w:hAnsi="仿宋" w:eastAsia="仿宋" w:cs="仿宋"/>
                <w:i w:val="0"/>
                <w:color w:val="000000"/>
                <w:kern w:val="0"/>
                <w:sz w:val="24"/>
                <w:szCs w:val="24"/>
                <w:u w:val="none"/>
                <w:vertAlign w:val="baseline"/>
                <w:lang w:val="en-US" w:eastAsia="zh-CN" w:bidi="ar"/>
              </w:rPr>
              <w:t>1、 规格不限，瓶装或袋装均可。</w:t>
            </w:r>
          </w:p>
        </w:tc>
        <w:tc>
          <w:tcPr>
            <w:tcW w:w="1396" w:type="dxa"/>
            <w:vMerge w:val="restart"/>
            <w:tcBorders>
              <w:top w:val="single" w:color="000000" w:sz="4" w:space="0"/>
              <w:left w:val="single" w:color="auto" w:sz="4" w:space="0"/>
              <w:right w:val="single" w:color="000000" w:sz="4" w:space="0"/>
            </w:tcBorders>
            <w:noWrap w:val="0"/>
            <w:tcMar>
              <w:top w:w="15" w:type="dxa"/>
              <w:left w:w="15" w:type="dxa"/>
              <w:right w:w="15" w:type="dxa"/>
            </w:tcMar>
            <w:vAlign w:val="center"/>
          </w:tcPr>
          <w:p>
            <w:pPr>
              <w:jc w:val="left"/>
              <w:textAlignment w:val="center"/>
              <w:rPr>
                <w:rFonts w:hint="eastAsia" w:ascii="仿宋" w:hAnsi="仿宋" w:eastAsia="仿宋" w:cs="仿宋"/>
                <w:i w:val="0"/>
                <w:color w:val="000000"/>
                <w:kern w:val="0"/>
                <w:sz w:val="24"/>
                <w:szCs w:val="24"/>
                <w:u w:val="none"/>
                <w:vertAlign w:val="baseline"/>
                <w:lang w:val="en-US" w:eastAsia="zh-CN" w:bidi="ar"/>
              </w:rPr>
            </w:pPr>
            <w:r>
              <w:rPr>
                <w:rFonts w:hint="eastAsia" w:ascii="仿宋" w:hAnsi="仿宋" w:eastAsia="仿宋" w:cs="仿宋"/>
                <w:i w:val="0"/>
                <w:color w:val="000000"/>
                <w:kern w:val="0"/>
                <w:sz w:val="24"/>
                <w:szCs w:val="24"/>
                <w:u w:val="none"/>
                <w:vertAlign w:val="baseline"/>
                <w:lang w:val="en-US" w:eastAsia="zh-CN" w:bidi="ar"/>
              </w:rPr>
              <w:t>用于外科洗手后手消毒用</w:t>
            </w:r>
          </w:p>
        </w:tc>
      </w:tr>
      <w:tr>
        <w:tblPrEx>
          <w:tblCellMar>
            <w:top w:w="0" w:type="dxa"/>
            <w:left w:w="0" w:type="dxa"/>
            <w:bottom w:w="0" w:type="dxa"/>
            <w:right w:w="0" w:type="dxa"/>
          </w:tblCellMar>
        </w:tblPrEx>
        <w:trPr>
          <w:trHeight w:val="340" w:hRule="atLeast"/>
        </w:trPr>
        <w:tc>
          <w:tcPr>
            <w:tcW w:w="1668" w:type="dxa"/>
            <w:vMerge w:val="continue"/>
            <w:tcBorders>
              <w:left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i w:val="0"/>
                <w:color w:val="000000"/>
                <w:kern w:val="0"/>
                <w:sz w:val="24"/>
                <w:szCs w:val="24"/>
                <w:u w:val="none"/>
                <w:vertAlign w:val="baseline"/>
                <w:lang w:val="en-US" w:eastAsia="zh-CN" w:bidi="ar"/>
              </w:rPr>
            </w:pPr>
          </w:p>
        </w:tc>
        <w:tc>
          <w:tcPr>
            <w:tcW w:w="589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left"/>
              <w:textAlignment w:val="center"/>
              <w:rPr>
                <w:rFonts w:hint="eastAsia" w:ascii="仿宋" w:hAnsi="仿宋" w:eastAsia="仿宋" w:cs="仿宋"/>
                <w:i w:val="0"/>
                <w:color w:val="000000"/>
                <w:kern w:val="0"/>
                <w:sz w:val="24"/>
                <w:szCs w:val="24"/>
                <w:u w:val="none"/>
                <w:vertAlign w:val="baseline"/>
                <w:lang w:val="en-US" w:eastAsia="zh-CN" w:bidi="ar"/>
              </w:rPr>
            </w:pPr>
            <w:r>
              <w:rPr>
                <w:rFonts w:hint="eastAsia" w:ascii="仿宋" w:hAnsi="仿宋" w:eastAsia="仿宋" w:cs="仿宋"/>
                <w:i w:val="0"/>
                <w:color w:val="000000"/>
                <w:kern w:val="0"/>
                <w:sz w:val="24"/>
                <w:szCs w:val="24"/>
                <w:u w:val="none"/>
                <w:vertAlign w:val="baseline"/>
                <w:lang w:val="en-US" w:eastAsia="zh-CN" w:bidi="ar"/>
              </w:rPr>
              <w:t>*2、剂型：凝胶或泡沫。</w:t>
            </w:r>
          </w:p>
        </w:tc>
        <w:tc>
          <w:tcPr>
            <w:tcW w:w="1396" w:type="dxa"/>
            <w:vMerge w:val="continue"/>
            <w:tcBorders>
              <w:left w:val="single" w:color="auto" w:sz="4" w:space="0"/>
              <w:right w:val="single" w:color="000000" w:sz="4" w:space="0"/>
            </w:tcBorders>
            <w:noWrap w:val="0"/>
            <w:tcMar>
              <w:top w:w="15" w:type="dxa"/>
              <w:left w:w="15" w:type="dxa"/>
              <w:right w:w="15" w:type="dxa"/>
            </w:tcMar>
            <w:vAlign w:val="center"/>
          </w:tcPr>
          <w:p>
            <w:pPr>
              <w:jc w:val="left"/>
              <w:textAlignment w:val="center"/>
              <w:rPr>
                <w:rFonts w:hint="eastAsia" w:ascii="仿宋" w:hAnsi="仿宋" w:eastAsia="仿宋" w:cs="仿宋"/>
                <w:i w:val="0"/>
                <w:color w:val="000000"/>
                <w:kern w:val="0"/>
                <w:sz w:val="24"/>
                <w:szCs w:val="24"/>
                <w:u w:val="none"/>
                <w:vertAlign w:val="baseline"/>
                <w:lang w:val="en-US" w:eastAsia="zh-CN" w:bidi="ar"/>
              </w:rPr>
            </w:pPr>
          </w:p>
        </w:tc>
      </w:tr>
      <w:tr>
        <w:tblPrEx>
          <w:tblCellMar>
            <w:top w:w="0" w:type="dxa"/>
            <w:left w:w="0" w:type="dxa"/>
            <w:bottom w:w="0" w:type="dxa"/>
            <w:right w:w="0" w:type="dxa"/>
          </w:tblCellMar>
        </w:tblPrEx>
        <w:trPr>
          <w:trHeight w:val="340" w:hRule="atLeast"/>
        </w:trPr>
        <w:tc>
          <w:tcPr>
            <w:tcW w:w="1668" w:type="dxa"/>
            <w:vMerge w:val="continue"/>
            <w:tcBorders>
              <w:left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i w:val="0"/>
                <w:color w:val="000000"/>
                <w:kern w:val="0"/>
                <w:sz w:val="24"/>
                <w:szCs w:val="24"/>
                <w:u w:val="none"/>
                <w:vertAlign w:val="baseline"/>
                <w:lang w:val="en-US" w:eastAsia="zh-CN" w:bidi="ar"/>
              </w:rPr>
            </w:pPr>
          </w:p>
        </w:tc>
        <w:tc>
          <w:tcPr>
            <w:tcW w:w="589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left"/>
              <w:textAlignment w:val="center"/>
              <w:rPr>
                <w:rFonts w:hint="default" w:ascii="仿宋" w:hAnsi="仿宋" w:eastAsia="仿宋" w:cs="仿宋"/>
                <w:i w:val="0"/>
                <w:color w:val="000000"/>
                <w:kern w:val="0"/>
                <w:sz w:val="24"/>
                <w:szCs w:val="24"/>
                <w:u w:val="none"/>
                <w:vertAlign w:val="baseline"/>
                <w:lang w:val="en-US" w:eastAsia="zh-CN" w:bidi="ar"/>
              </w:rPr>
            </w:pPr>
            <w:r>
              <w:rPr>
                <w:rFonts w:hint="eastAsia" w:ascii="仿宋" w:hAnsi="仿宋" w:eastAsia="仿宋" w:cs="仿宋"/>
                <w:i w:val="0"/>
                <w:color w:val="000000"/>
                <w:kern w:val="0"/>
                <w:sz w:val="24"/>
                <w:szCs w:val="24"/>
                <w:u w:val="none"/>
                <w:vertAlign w:val="baseline"/>
                <w:lang w:val="en-US" w:eastAsia="zh-CN" w:bidi="ar"/>
              </w:rPr>
              <w:t>*3、有效成分含量、杀灭微生物指标符合国家标准（参考GB27950-2020手消毒剂通用要求）。</w:t>
            </w:r>
          </w:p>
        </w:tc>
        <w:tc>
          <w:tcPr>
            <w:tcW w:w="1396" w:type="dxa"/>
            <w:vMerge w:val="continue"/>
            <w:tcBorders>
              <w:left w:val="single" w:color="auto" w:sz="4" w:space="0"/>
              <w:right w:val="single" w:color="000000" w:sz="4" w:space="0"/>
            </w:tcBorders>
            <w:noWrap w:val="0"/>
            <w:tcMar>
              <w:top w:w="15" w:type="dxa"/>
              <w:left w:w="15" w:type="dxa"/>
              <w:right w:w="15" w:type="dxa"/>
            </w:tcMar>
            <w:vAlign w:val="center"/>
          </w:tcPr>
          <w:p>
            <w:pPr>
              <w:jc w:val="left"/>
              <w:textAlignment w:val="center"/>
              <w:rPr>
                <w:rFonts w:hint="eastAsia" w:ascii="仿宋" w:hAnsi="仿宋" w:eastAsia="仿宋" w:cs="仿宋"/>
                <w:i w:val="0"/>
                <w:color w:val="000000"/>
                <w:kern w:val="0"/>
                <w:sz w:val="24"/>
                <w:szCs w:val="24"/>
                <w:u w:val="none"/>
                <w:vertAlign w:val="baseline"/>
                <w:lang w:val="en-US" w:eastAsia="zh-CN" w:bidi="ar"/>
              </w:rPr>
            </w:pPr>
          </w:p>
        </w:tc>
      </w:tr>
      <w:tr>
        <w:tblPrEx>
          <w:tblCellMar>
            <w:top w:w="0" w:type="dxa"/>
            <w:left w:w="0" w:type="dxa"/>
            <w:bottom w:w="0" w:type="dxa"/>
            <w:right w:w="0" w:type="dxa"/>
          </w:tblCellMar>
        </w:tblPrEx>
        <w:trPr>
          <w:trHeight w:val="340" w:hRule="atLeast"/>
        </w:trPr>
        <w:tc>
          <w:tcPr>
            <w:tcW w:w="1668" w:type="dxa"/>
            <w:vMerge w:val="continue"/>
            <w:tcBorders>
              <w:left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i w:val="0"/>
                <w:color w:val="000000"/>
                <w:kern w:val="0"/>
                <w:sz w:val="24"/>
                <w:szCs w:val="24"/>
                <w:u w:val="none"/>
                <w:vertAlign w:val="baseline"/>
                <w:lang w:val="en-US" w:eastAsia="zh-CN" w:bidi="ar"/>
              </w:rPr>
            </w:pPr>
          </w:p>
        </w:tc>
        <w:tc>
          <w:tcPr>
            <w:tcW w:w="589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left"/>
              <w:textAlignment w:val="center"/>
              <w:rPr>
                <w:rFonts w:hint="default" w:ascii="仿宋" w:hAnsi="仿宋" w:eastAsia="仿宋" w:cs="仿宋"/>
                <w:i w:val="0"/>
                <w:color w:val="000000"/>
                <w:kern w:val="0"/>
                <w:sz w:val="24"/>
                <w:szCs w:val="24"/>
                <w:u w:val="none"/>
                <w:vertAlign w:val="baseline"/>
                <w:lang w:val="en-US" w:eastAsia="zh-CN" w:bidi="ar"/>
              </w:rPr>
            </w:pPr>
            <w:r>
              <w:rPr>
                <w:rFonts w:hint="eastAsia" w:ascii="仿宋" w:hAnsi="仿宋" w:eastAsia="仿宋" w:cs="仿宋"/>
                <w:i w:val="0"/>
                <w:color w:val="000000"/>
                <w:kern w:val="0"/>
                <w:sz w:val="24"/>
                <w:szCs w:val="24"/>
                <w:u w:val="none"/>
                <w:vertAlign w:val="baseline"/>
                <w:lang w:val="en-US" w:eastAsia="zh-CN" w:bidi="ar"/>
              </w:rPr>
              <w:t>4、 不含香精，无异味，含有效护肤成分，干燥时间快。</w:t>
            </w:r>
          </w:p>
        </w:tc>
        <w:tc>
          <w:tcPr>
            <w:tcW w:w="1396" w:type="dxa"/>
            <w:vMerge w:val="continue"/>
            <w:tcBorders>
              <w:left w:val="single" w:color="auto" w:sz="4" w:space="0"/>
              <w:right w:val="single" w:color="000000" w:sz="4" w:space="0"/>
            </w:tcBorders>
            <w:noWrap w:val="0"/>
            <w:tcMar>
              <w:top w:w="15" w:type="dxa"/>
              <w:left w:w="15" w:type="dxa"/>
              <w:right w:w="15" w:type="dxa"/>
            </w:tcMar>
            <w:vAlign w:val="center"/>
          </w:tcPr>
          <w:p>
            <w:pPr>
              <w:jc w:val="left"/>
              <w:textAlignment w:val="center"/>
              <w:rPr>
                <w:rFonts w:hint="eastAsia" w:ascii="仿宋" w:hAnsi="仿宋" w:eastAsia="仿宋" w:cs="仿宋"/>
                <w:i w:val="0"/>
                <w:color w:val="000000"/>
                <w:kern w:val="0"/>
                <w:sz w:val="24"/>
                <w:szCs w:val="24"/>
                <w:u w:val="none"/>
                <w:vertAlign w:val="baseline"/>
                <w:lang w:val="en-US" w:eastAsia="zh-CN" w:bidi="ar"/>
              </w:rPr>
            </w:pPr>
          </w:p>
        </w:tc>
      </w:tr>
      <w:tr>
        <w:tblPrEx>
          <w:tblCellMar>
            <w:top w:w="0" w:type="dxa"/>
            <w:left w:w="0" w:type="dxa"/>
            <w:bottom w:w="0" w:type="dxa"/>
            <w:right w:w="0" w:type="dxa"/>
          </w:tblCellMar>
        </w:tblPrEx>
        <w:trPr>
          <w:trHeight w:val="340" w:hRule="atLeast"/>
        </w:trPr>
        <w:tc>
          <w:tcPr>
            <w:tcW w:w="1668" w:type="dxa"/>
            <w:vMerge w:val="continue"/>
            <w:tcBorders>
              <w:left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i w:val="0"/>
                <w:color w:val="000000"/>
                <w:kern w:val="0"/>
                <w:sz w:val="24"/>
                <w:szCs w:val="24"/>
                <w:u w:val="none"/>
                <w:vertAlign w:val="baseline"/>
                <w:lang w:val="en-US" w:eastAsia="zh-CN" w:bidi="ar"/>
              </w:rPr>
            </w:pPr>
          </w:p>
        </w:tc>
        <w:tc>
          <w:tcPr>
            <w:tcW w:w="589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left"/>
              <w:textAlignment w:val="center"/>
              <w:rPr>
                <w:rFonts w:hint="default" w:ascii="仿宋" w:hAnsi="仿宋" w:eastAsia="仿宋" w:cs="仿宋"/>
                <w:i w:val="0"/>
                <w:color w:val="000000"/>
                <w:kern w:val="0"/>
                <w:sz w:val="24"/>
                <w:szCs w:val="24"/>
                <w:u w:val="none"/>
                <w:vertAlign w:val="baseline"/>
                <w:lang w:val="en-US" w:eastAsia="zh-CN" w:bidi="ar"/>
              </w:rPr>
            </w:pPr>
            <w:r>
              <w:rPr>
                <w:rFonts w:hint="eastAsia" w:ascii="仿宋" w:hAnsi="仿宋" w:eastAsia="仿宋" w:cs="仿宋"/>
                <w:i w:val="0"/>
                <w:color w:val="000000"/>
                <w:kern w:val="0"/>
                <w:sz w:val="24"/>
                <w:szCs w:val="24"/>
                <w:u w:val="none"/>
                <w:vertAlign w:val="baseline"/>
                <w:lang w:val="en-US" w:eastAsia="zh-CN" w:bidi="ar"/>
              </w:rPr>
              <w:t>5、 PH值：应在标识值±1范围之内。</w:t>
            </w:r>
          </w:p>
        </w:tc>
        <w:tc>
          <w:tcPr>
            <w:tcW w:w="1396" w:type="dxa"/>
            <w:vMerge w:val="continue"/>
            <w:tcBorders>
              <w:left w:val="single" w:color="auto" w:sz="4" w:space="0"/>
              <w:right w:val="single" w:color="000000" w:sz="4" w:space="0"/>
            </w:tcBorders>
            <w:noWrap w:val="0"/>
            <w:tcMar>
              <w:top w:w="15" w:type="dxa"/>
              <w:left w:w="15" w:type="dxa"/>
              <w:right w:w="15" w:type="dxa"/>
            </w:tcMar>
            <w:vAlign w:val="center"/>
          </w:tcPr>
          <w:p>
            <w:pPr>
              <w:jc w:val="left"/>
              <w:textAlignment w:val="center"/>
              <w:rPr>
                <w:rFonts w:hint="eastAsia" w:ascii="仿宋" w:hAnsi="仿宋" w:eastAsia="仿宋" w:cs="仿宋"/>
                <w:i w:val="0"/>
                <w:color w:val="000000"/>
                <w:kern w:val="0"/>
                <w:sz w:val="24"/>
                <w:szCs w:val="24"/>
                <w:u w:val="none"/>
                <w:vertAlign w:val="baseline"/>
                <w:lang w:val="en-US" w:eastAsia="zh-CN" w:bidi="ar"/>
              </w:rPr>
            </w:pPr>
          </w:p>
        </w:tc>
      </w:tr>
      <w:tr>
        <w:tblPrEx>
          <w:tblCellMar>
            <w:top w:w="0" w:type="dxa"/>
            <w:left w:w="0" w:type="dxa"/>
            <w:bottom w:w="0" w:type="dxa"/>
            <w:right w:w="0" w:type="dxa"/>
          </w:tblCellMar>
        </w:tblPrEx>
        <w:trPr>
          <w:trHeight w:val="340" w:hRule="atLeast"/>
        </w:trPr>
        <w:tc>
          <w:tcPr>
            <w:tcW w:w="1668" w:type="dxa"/>
            <w:vMerge w:val="continue"/>
            <w:tcBorders>
              <w:left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i w:val="0"/>
                <w:color w:val="000000"/>
                <w:kern w:val="0"/>
                <w:sz w:val="24"/>
                <w:szCs w:val="24"/>
                <w:u w:val="none"/>
                <w:vertAlign w:val="baseline"/>
                <w:lang w:val="en-US" w:eastAsia="zh-CN" w:bidi="ar"/>
              </w:rPr>
            </w:pPr>
          </w:p>
        </w:tc>
        <w:tc>
          <w:tcPr>
            <w:tcW w:w="589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left"/>
              <w:textAlignment w:val="center"/>
              <w:rPr>
                <w:rFonts w:hint="default" w:ascii="仿宋" w:hAnsi="仿宋" w:eastAsia="仿宋" w:cs="仿宋"/>
                <w:i w:val="0"/>
                <w:color w:val="000000"/>
                <w:kern w:val="0"/>
                <w:sz w:val="24"/>
                <w:szCs w:val="24"/>
                <w:u w:val="none"/>
                <w:vertAlign w:val="baseline"/>
                <w:lang w:val="en-US" w:eastAsia="zh-CN" w:bidi="ar"/>
              </w:rPr>
            </w:pPr>
            <w:r>
              <w:rPr>
                <w:rFonts w:hint="eastAsia" w:ascii="仿宋" w:hAnsi="仿宋" w:eastAsia="仿宋" w:cs="仿宋"/>
                <w:i w:val="0"/>
                <w:color w:val="000000"/>
                <w:kern w:val="0"/>
                <w:sz w:val="24"/>
                <w:szCs w:val="24"/>
                <w:u w:val="none"/>
                <w:vertAlign w:val="baseline"/>
                <w:lang w:val="en-US" w:eastAsia="zh-CN" w:bidi="ar"/>
              </w:rPr>
              <w:t>6、 与乳胶、腈类和乙烯基手套兼容。</w:t>
            </w:r>
          </w:p>
        </w:tc>
        <w:tc>
          <w:tcPr>
            <w:tcW w:w="1396" w:type="dxa"/>
            <w:vMerge w:val="continue"/>
            <w:tcBorders>
              <w:left w:val="single" w:color="auto" w:sz="4" w:space="0"/>
              <w:right w:val="single" w:color="000000" w:sz="4" w:space="0"/>
            </w:tcBorders>
            <w:noWrap w:val="0"/>
            <w:tcMar>
              <w:top w:w="15" w:type="dxa"/>
              <w:left w:w="15" w:type="dxa"/>
              <w:right w:w="15" w:type="dxa"/>
            </w:tcMar>
            <w:vAlign w:val="center"/>
          </w:tcPr>
          <w:p>
            <w:pPr>
              <w:jc w:val="left"/>
              <w:textAlignment w:val="center"/>
              <w:rPr>
                <w:rFonts w:hint="eastAsia" w:ascii="仿宋" w:hAnsi="仿宋" w:eastAsia="仿宋" w:cs="仿宋"/>
                <w:i w:val="0"/>
                <w:color w:val="000000"/>
                <w:kern w:val="0"/>
                <w:sz w:val="24"/>
                <w:szCs w:val="24"/>
                <w:u w:val="none"/>
                <w:vertAlign w:val="baseline"/>
                <w:lang w:val="en-US" w:eastAsia="zh-CN" w:bidi="ar"/>
              </w:rPr>
            </w:pPr>
          </w:p>
        </w:tc>
      </w:tr>
      <w:tr>
        <w:tblPrEx>
          <w:tblCellMar>
            <w:top w:w="0" w:type="dxa"/>
            <w:left w:w="0" w:type="dxa"/>
            <w:bottom w:w="0" w:type="dxa"/>
            <w:right w:w="0" w:type="dxa"/>
          </w:tblCellMar>
        </w:tblPrEx>
        <w:trPr>
          <w:trHeight w:val="337" w:hRule="atLeast"/>
        </w:trPr>
        <w:tc>
          <w:tcPr>
            <w:tcW w:w="1668" w:type="dxa"/>
            <w:vMerge w:val="continue"/>
            <w:tcBorders>
              <w:left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i w:val="0"/>
                <w:color w:val="000000"/>
                <w:kern w:val="0"/>
                <w:sz w:val="24"/>
                <w:szCs w:val="24"/>
                <w:u w:val="none"/>
                <w:vertAlign w:val="baseline"/>
                <w:lang w:val="en-US" w:eastAsia="zh-CN" w:bidi="ar"/>
              </w:rPr>
            </w:pPr>
          </w:p>
        </w:tc>
        <w:tc>
          <w:tcPr>
            <w:tcW w:w="589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left"/>
              <w:textAlignment w:val="center"/>
              <w:rPr>
                <w:rFonts w:hint="default" w:ascii="仿宋" w:hAnsi="仿宋" w:eastAsia="仿宋" w:cs="仿宋"/>
                <w:i w:val="0"/>
                <w:color w:val="000000"/>
                <w:kern w:val="0"/>
                <w:sz w:val="24"/>
                <w:szCs w:val="24"/>
                <w:u w:val="none"/>
                <w:vertAlign w:val="baseline"/>
                <w:lang w:val="en-US" w:eastAsia="zh-CN" w:bidi="ar"/>
              </w:rPr>
            </w:pPr>
            <w:r>
              <w:rPr>
                <w:rFonts w:hint="eastAsia" w:ascii="仿宋" w:hAnsi="仿宋" w:eastAsia="仿宋" w:cs="仿宋"/>
                <w:i w:val="0"/>
                <w:color w:val="000000"/>
                <w:kern w:val="0"/>
                <w:sz w:val="24"/>
                <w:szCs w:val="24"/>
                <w:u w:val="none"/>
                <w:vertAlign w:val="baseline"/>
                <w:lang w:val="en-US" w:eastAsia="zh-CN" w:bidi="ar"/>
              </w:rPr>
              <w:t>7、 原料应符合《中华人民共和国药典》（2015版）或医用级或食品级或其他相应标准德质量要求。</w:t>
            </w:r>
          </w:p>
        </w:tc>
        <w:tc>
          <w:tcPr>
            <w:tcW w:w="1396" w:type="dxa"/>
            <w:vMerge w:val="continue"/>
            <w:tcBorders>
              <w:left w:val="single" w:color="auto" w:sz="4" w:space="0"/>
              <w:right w:val="single" w:color="000000" w:sz="4" w:space="0"/>
            </w:tcBorders>
            <w:noWrap w:val="0"/>
            <w:tcMar>
              <w:top w:w="15" w:type="dxa"/>
              <w:left w:w="15" w:type="dxa"/>
              <w:right w:w="15" w:type="dxa"/>
            </w:tcMar>
            <w:vAlign w:val="center"/>
          </w:tcPr>
          <w:p>
            <w:pPr>
              <w:jc w:val="left"/>
              <w:textAlignment w:val="center"/>
              <w:rPr>
                <w:rFonts w:hint="eastAsia" w:ascii="仿宋" w:hAnsi="仿宋" w:eastAsia="仿宋" w:cs="仿宋"/>
                <w:i w:val="0"/>
                <w:color w:val="000000"/>
                <w:kern w:val="0"/>
                <w:sz w:val="24"/>
                <w:szCs w:val="24"/>
                <w:u w:val="none"/>
                <w:vertAlign w:val="baseline"/>
                <w:lang w:val="en-US" w:eastAsia="zh-CN" w:bidi="ar"/>
              </w:rPr>
            </w:pPr>
          </w:p>
        </w:tc>
      </w:tr>
      <w:tr>
        <w:tblPrEx>
          <w:tblCellMar>
            <w:top w:w="0" w:type="dxa"/>
            <w:left w:w="0" w:type="dxa"/>
            <w:bottom w:w="0" w:type="dxa"/>
            <w:right w:w="0" w:type="dxa"/>
          </w:tblCellMar>
        </w:tblPrEx>
        <w:trPr>
          <w:trHeight w:val="340" w:hRule="atLeast"/>
        </w:trPr>
        <w:tc>
          <w:tcPr>
            <w:tcW w:w="1668" w:type="dxa"/>
            <w:vMerge w:val="continue"/>
            <w:tcBorders>
              <w:left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i w:val="0"/>
                <w:color w:val="000000"/>
                <w:kern w:val="0"/>
                <w:sz w:val="24"/>
                <w:szCs w:val="24"/>
                <w:u w:val="none"/>
                <w:vertAlign w:val="baseline"/>
                <w:lang w:val="en-US" w:eastAsia="zh-CN" w:bidi="ar"/>
              </w:rPr>
            </w:pPr>
          </w:p>
        </w:tc>
        <w:tc>
          <w:tcPr>
            <w:tcW w:w="589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left"/>
              <w:textAlignment w:val="center"/>
              <w:rPr>
                <w:rFonts w:hint="eastAsia" w:ascii="仿宋" w:hAnsi="仿宋" w:eastAsia="仿宋" w:cs="仿宋"/>
                <w:i w:val="0"/>
                <w:color w:val="000000"/>
                <w:kern w:val="0"/>
                <w:sz w:val="24"/>
                <w:szCs w:val="24"/>
                <w:u w:val="none"/>
                <w:vertAlign w:val="baseline"/>
                <w:lang w:val="en-US" w:eastAsia="zh-CN" w:bidi="ar"/>
              </w:rPr>
            </w:pPr>
            <w:r>
              <w:rPr>
                <w:rFonts w:hint="eastAsia" w:ascii="仿宋" w:hAnsi="仿宋" w:eastAsia="仿宋" w:cs="仿宋"/>
                <w:i w:val="0"/>
                <w:color w:val="C0504D"/>
                <w:kern w:val="0"/>
                <w:sz w:val="24"/>
                <w:szCs w:val="24"/>
                <w:highlight w:val="none"/>
                <w:u w:val="none"/>
                <w:vertAlign w:val="baseline"/>
                <w:lang w:val="en-US" w:eastAsia="zh-CN" w:bidi="ar"/>
              </w:rPr>
              <w:t>*8、非手触式：密闭完整系统，定量出液。</w:t>
            </w:r>
          </w:p>
        </w:tc>
        <w:tc>
          <w:tcPr>
            <w:tcW w:w="1396" w:type="dxa"/>
            <w:vMerge w:val="continue"/>
            <w:tcBorders>
              <w:left w:val="single" w:color="auto" w:sz="4" w:space="0"/>
              <w:right w:val="single" w:color="000000" w:sz="4" w:space="0"/>
            </w:tcBorders>
            <w:noWrap w:val="0"/>
            <w:tcMar>
              <w:top w:w="15" w:type="dxa"/>
              <w:left w:w="15" w:type="dxa"/>
              <w:right w:w="15" w:type="dxa"/>
            </w:tcMar>
            <w:vAlign w:val="center"/>
          </w:tcPr>
          <w:p>
            <w:pPr>
              <w:jc w:val="left"/>
              <w:textAlignment w:val="center"/>
              <w:rPr>
                <w:rFonts w:hint="eastAsia" w:ascii="仿宋" w:hAnsi="仿宋" w:eastAsia="仿宋" w:cs="仿宋"/>
                <w:i w:val="0"/>
                <w:color w:val="000000"/>
                <w:kern w:val="0"/>
                <w:sz w:val="24"/>
                <w:szCs w:val="24"/>
                <w:u w:val="none"/>
                <w:vertAlign w:val="baseline"/>
                <w:lang w:val="en-US" w:eastAsia="zh-CN" w:bidi="ar"/>
              </w:rPr>
            </w:pPr>
          </w:p>
        </w:tc>
      </w:tr>
      <w:tr>
        <w:tblPrEx>
          <w:tblCellMar>
            <w:top w:w="0" w:type="dxa"/>
            <w:left w:w="0" w:type="dxa"/>
            <w:bottom w:w="0" w:type="dxa"/>
            <w:right w:w="0" w:type="dxa"/>
          </w:tblCellMar>
        </w:tblPrEx>
        <w:trPr>
          <w:trHeight w:val="340" w:hRule="atLeast"/>
        </w:trPr>
        <w:tc>
          <w:tcPr>
            <w:tcW w:w="1668"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 w:hAnsi="仿宋" w:eastAsia="仿宋" w:cs="仿宋"/>
                <w:i w:val="0"/>
                <w:color w:val="000000"/>
                <w:kern w:val="0"/>
                <w:sz w:val="24"/>
                <w:szCs w:val="24"/>
                <w:u w:val="none"/>
                <w:vertAlign w:val="baseline"/>
                <w:lang w:val="en-US" w:eastAsia="zh-CN" w:bidi="ar"/>
              </w:rPr>
            </w:pPr>
          </w:p>
        </w:tc>
        <w:tc>
          <w:tcPr>
            <w:tcW w:w="589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numPr>
                <w:ilvl w:val="0"/>
                <w:numId w:val="1"/>
              </w:numPr>
              <w:jc w:val="left"/>
              <w:textAlignment w:val="center"/>
              <w:rPr>
                <w:rFonts w:hint="default" w:ascii="仿宋" w:hAnsi="仿宋" w:eastAsia="仿宋" w:cs="仿宋"/>
                <w:i w:val="0"/>
                <w:color w:val="000000"/>
                <w:kern w:val="0"/>
                <w:sz w:val="24"/>
                <w:szCs w:val="24"/>
                <w:highlight w:val="none"/>
                <w:u w:val="none"/>
                <w:vertAlign w:val="baseline"/>
                <w:lang w:val="en-US" w:eastAsia="zh-CN" w:bidi="ar"/>
              </w:rPr>
            </w:pPr>
            <w:r>
              <w:rPr>
                <w:rFonts w:hint="eastAsia" w:ascii="仿宋" w:hAnsi="仿宋" w:eastAsia="仿宋" w:cs="仿宋"/>
                <w:i w:val="0"/>
                <w:color w:val="000000"/>
                <w:kern w:val="0"/>
                <w:sz w:val="24"/>
                <w:szCs w:val="24"/>
                <w:highlight w:val="none"/>
                <w:u w:val="none"/>
                <w:vertAlign w:val="baseline"/>
                <w:lang w:val="en-US" w:eastAsia="zh-CN" w:bidi="ar"/>
              </w:rPr>
              <w:t>禁止含有正丙醇、异丙醇、三氯生等有毒成分。</w:t>
            </w:r>
          </w:p>
        </w:tc>
        <w:tc>
          <w:tcPr>
            <w:tcW w:w="1396" w:type="dxa"/>
            <w:vMerge w:val="continue"/>
            <w:tcBorders>
              <w:left w:val="single" w:color="auto" w:sz="4" w:space="0"/>
              <w:bottom w:val="single" w:color="000000" w:sz="4" w:space="0"/>
              <w:right w:val="single" w:color="000000" w:sz="4" w:space="0"/>
            </w:tcBorders>
            <w:noWrap w:val="0"/>
            <w:tcMar>
              <w:top w:w="15" w:type="dxa"/>
              <w:left w:w="15" w:type="dxa"/>
              <w:right w:w="15" w:type="dxa"/>
            </w:tcMar>
            <w:vAlign w:val="center"/>
          </w:tcPr>
          <w:p>
            <w:pPr>
              <w:jc w:val="left"/>
              <w:textAlignment w:val="center"/>
              <w:rPr>
                <w:rFonts w:hint="eastAsia" w:ascii="仿宋" w:hAnsi="仿宋" w:eastAsia="仿宋" w:cs="仿宋"/>
                <w:i w:val="0"/>
                <w:color w:val="000000"/>
                <w:kern w:val="0"/>
                <w:sz w:val="24"/>
                <w:szCs w:val="24"/>
                <w:u w:val="none"/>
                <w:vertAlign w:val="baseline"/>
                <w:lang w:val="en-US" w:eastAsia="zh-CN" w:bidi="ar"/>
              </w:rPr>
            </w:pPr>
          </w:p>
        </w:tc>
      </w:tr>
    </w:tbl>
    <w:p>
      <w:pPr>
        <w:pStyle w:val="3"/>
        <w:keepNext w:val="0"/>
        <w:keepLines w:val="0"/>
        <w:widowControl/>
        <w:suppressLineNumbers w:val="0"/>
        <w:rPr>
          <w:rFonts w:hint="eastAsia"/>
          <w:sz w:val="21"/>
          <w:szCs w:val="21"/>
          <w:lang w:val="en-US" w:eastAsia="zh-CN"/>
        </w:rPr>
      </w:pP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eastAsia="宋体"/>
          <w:b/>
          <w:bCs/>
          <w:sz w:val="21"/>
          <w:szCs w:val="21"/>
          <w:lang w:eastAsia="zh-CN"/>
        </w:rPr>
      </w:pPr>
      <w:r>
        <w:rPr>
          <w:b/>
          <w:bCs/>
          <w:sz w:val="21"/>
          <w:szCs w:val="21"/>
        </w:rPr>
        <w:t>投标人资格</w:t>
      </w:r>
      <w:r>
        <w:rPr>
          <w:rFonts w:hint="eastAsia"/>
          <w:b/>
          <w:bCs/>
          <w:sz w:val="21"/>
          <w:szCs w:val="21"/>
          <w:lang w:eastAsia="zh-CN"/>
        </w:rPr>
        <w:t>：</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ind w:left="0" w:leftChars="0" w:firstLine="0" w:firstLineChars="0"/>
        <w:textAlignment w:val="auto"/>
        <w:rPr>
          <w:sz w:val="21"/>
          <w:szCs w:val="21"/>
        </w:rPr>
      </w:pPr>
      <w:r>
        <w:rPr>
          <w:sz w:val="21"/>
          <w:szCs w:val="21"/>
        </w:rPr>
        <w:t>1、在中华人民共和国关境内注册的独立法人企业,具有有效的营业执照并有能力供货的产品制造商或经销/代理商；</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ind w:left="0" w:leftChars="0" w:firstLine="0" w:firstLineChars="0"/>
        <w:textAlignment w:val="auto"/>
        <w:rPr>
          <w:sz w:val="21"/>
          <w:szCs w:val="21"/>
        </w:rPr>
      </w:pPr>
      <w:r>
        <w:rPr>
          <w:sz w:val="21"/>
          <w:szCs w:val="21"/>
        </w:rPr>
        <w:t>2、须具有有效的医疗器械经营许可证（或备案凭证）；</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ind w:left="0" w:leftChars="0" w:firstLine="0" w:firstLineChars="0"/>
        <w:textAlignment w:val="auto"/>
        <w:rPr>
          <w:sz w:val="21"/>
          <w:szCs w:val="21"/>
        </w:rPr>
      </w:pPr>
      <w:r>
        <w:rPr>
          <w:sz w:val="21"/>
          <w:szCs w:val="21"/>
        </w:rPr>
        <w:t>3、经销/代理商投标时，须提供所投产品制造商（也可由制造商的中国销售公司或产品全国总代理公司或区域代理公司出具，但须同时提供能证明出具授权的单位具有相应合法代理身份的有效证明）针对本次投标出具的有效授权书（函）；</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ind w:left="0" w:leftChars="0" w:firstLine="0" w:firstLineChars="0"/>
        <w:textAlignment w:val="auto"/>
        <w:rPr>
          <w:color w:val="FF0000"/>
          <w:sz w:val="21"/>
          <w:szCs w:val="21"/>
        </w:rPr>
      </w:pPr>
      <w:r>
        <w:rPr>
          <w:color w:val="FF0000"/>
          <w:sz w:val="21"/>
          <w:szCs w:val="21"/>
        </w:rPr>
        <w:t>4、须具有有效的</w:t>
      </w:r>
      <w:r>
        <w:rPr>
          <w:rFonts w:hint="eastAsia"/>
          <w:color w:val="FF0000"/>
          <w:sz w:val="21"/>
          <w:szCs w:val="21"/>
          <w:lang w:val="en-US" w:eastAsia="zh-CN"/>
        </w:rPr>
        <w:t>消毒产品生产企业卫生许可证，消毒产品卫生安全评价报告；</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ind w:left="0" w:leftChars="0" w:firstLine="0" w:firstLineChars="0"/>
        <w:textAlignment w:val="auto"/>
        <w:rPr>
          <w:sz w:val="21"/>
          <w:szCs w:val="21"/>
        </w:rPr>
      </w:pPr>
      <w:r>
        <w:rPr>
          <w:sz w:val="21"/>
          <w:szCs w:val="21"/>
        </w:rPr>
        <w:t>5、具有良好的售后服务体系</w:t>
      </w:r>
    </w:p>
    <w:p>
      <w:pPr>
        <w:pStyle w:val="2"/>
        <w:rPr>
          <w:rFonts w:hint="eastAsia"/>
          <w:sz w:val="21"/>
          <w:szCs w:val="21"/>
          <w:lang w:eastAsia="zh-CN"/>
        </w:rPr>
      </w:pPr>
      <w:r>
        <w:rPr>
          <w:rFonts w:hint="eastAsia"/>
          <w:sz w:val="21"/>
          <w:szCs w:val="21"/>
          <w:lang w:val="en-US" w:eastAsia="zh-CN"/>
        </w:rPr>
        <w:t>5.1</w:t>
      </w:r>
      <w:r>
        <w:rPr>
          <w:rFonts w:hint="eastAsia" w:ascii="宋体" w:hAnsi="宋体" w:eastAsia="宋体" w:cs="Times New Roman"/>
          <w:color w:val="000000"/>
          <w:kern w:val="0"/>
          <w:sz w:val="21"/>
          <w:szCs w:val="21"/>
          <w:shd w:val="clear" w:color="auto" w:fill="FFFFFF"/>
          <w:lang w:val="en-US" w:eastAsia="zh-CN" w:bidi="ar-SA"/>
        </w:rPr>
        <w:t>感应设备须每月上门巡检，发生故障未立即解决达到二次院方与其立即解除合同；</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ind w:left="0" w:leftChars="0" w:firstLine="0" w:firstLineChars="0"/>
        <w:textAlignment w:val="auto"/>
        <w:rPr>
          <w:sz w:val="21"/>
          <w:szCs w:val="21"/>
        </w:rPr>
      </w:pPr>
      <w:r>
        <w:rPr>
          <w:rFonts w:hint="eastAsia"/>
          <w:sz w:val="21"/>
          <w:szCs w:val="21"/>
          <w:lang w:val="en-US" w:eastAsia="zh-CN"/>
        </w:rPr>
        <w:t>6、接甲方通知后，按甲方需求时间48h到货</w:t>
      </w:r>
      <w:r>
        <w:rPr>
          <w:sz w:val="21"/>
          <w:szCs w:val="21"/>
        </w:rPr>
        <w:t>；</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ind w:left="0" w:leftChars="0" w:firstLine="0" w:firstLineChars="0"/>
        <w:textAlignment w:val="auto"/>
        <w:rPr>
          <w:rFonts w:hint="eastAsia" w:eastAsia="宋体"/>
          <w:sz w:val="21"/>
          <w:szCs w:val="21"/>
          <w:lang w:val="en-US" w:eastAsia="zh-CN"/>
        </w:rPr>
      </w:pPr>
      <w:r>
        <w:rPr>
          <w:rFonts w:hint="eastAsia"/>
          <w:sz w:val="21"/>
          <w:szCs w:val="21"/>
          <w:lang w:val="en-US" w:eastAsia="zh-CN"/>
        </w:rPr>
        <w:t>7、</w:t>
      </w:r>
      <w:r>
        <w:rPr>
          <w:rFonts w:hint="eastAsia"/>
          <w:color w:val="FF0000"/>
          <w:sz w:val="21"/>
          <w:szCs w:val="21"/>
          <w:lang w:val="en-US" w:eastAsia="zh-CN"/>
        </w:rPr>
        <w:t>免费配套提供感应分配器和电池；</w:t>
      </w:r>
    </w:p>
    <w:p>
      <w:pPr>
        <w:keepNext w:val="0"/>
        <w:keepLines w:val="0"/>
        <w:pageBreakBefore w:val="0"/>
        <w:kinsoku/>
        <w:wordWrap/>
        <w:overflowPunct/>
        <w:topLinePunct w:val="0"/>
        <w:autoSpaceDE/>
        <w:autoSpaceDN/>
        <w:bidi w:val="0"/>
        <w:adjustRightInd/>
        <w:snapToGrid/>
        <w:spacing w:beforeAutospacing="0" w:afterAutospacing="0"/>
        <w:jc w:val="left"/>
        <w:textAlignment w:val="auto"/>
        <w:rPr>
          <w:rFonts w:hint="eastAsia" w:eastAsia="宋体"/>
          <w:sz w:val="21"/>
          <w:szCs w:val="21"/>
          <w:lang w:eastAsia="zh-CN"/>
        </w:rPr>
      </w:pPr>
      <w:r>
        <w:rPr>
          <w:rFonts w:hint="eastAsia"/>
          <w:sz w:val="21"/>
          <w:szCs w:val="21"/>
          <w:lang w:val="en-US" w:eastAsia="zh-CN"/>
        </w:rPr>
        <w:t>8</w:t>
      </w:r>
      <w:r>
        <w:rPr>
          <w:sz w:val="21"/>
          <w:szCs w:val="21"/>
        </w:rPr>
        <w:t>、本项目不接受联合体投标</w:t>
      </w:r>
      <w:r>
        <w:rPr>
          <w:rFonts w:hint="eastAsia"/>
          <w:sz w:val="21"/>
          <w:szCs w:val="21"/>
          <w:lang w:eastAsia="zh-CN"/>
        </w:rPr>
        <w:t>；</w:t>
      </w:r>
    </w:p>
    <w:p>
      <w:pPr>
        <w:pStyle w:val="2"/>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9、符合《中华人民共和国政府采购法》第二十二条规定。</w:t>
      </w:r>
    </w:p>
    <w:p>
      <w:pPr>
        <w:keepNext w:val="0"/>
        <w:keepLines w:val="0"/>
        <w:pageBreakBefore w:val="0"/>
        <w:kinsoku/>
        <w:wordWrap/>
        <w:overflowPunct/>
        <w:topLinePunct w:val="0"/>
        <w:autoSpaceDE/>
        <w:autoSpaceDN/>
        <w:bidi w:val="0"/>
        <w:adjustRightInd/>
        <w:snapToGrid/>
        <w:spacing w:beforeAutospacing="0" w:afterAutospacing="0" w:line="320" w:lineRule="exact"/>
        <w:textAlignment w:val="auto"/>
        <w:rPr>
          <w:rFonts w:hint="eastAsia"/>
          <w:b/>
          <w:bCs/>
          <w:sz w:val="21"/>
          <w:szCs w:val="21"/>
          <w:lang w:val="en-US" w:eastAsia="zh-CN"/>
        </w:rPr>
      </w:pPr>
      <w:r>
        <w:rPr>
          <w:rFonts w:hint="eastAsia"/>
          <w:b/>
          <w:bCs/>
          <w:sz w:val="21"/>
          <w:szCs w:val="21"/>
          <w:lang w:val="en-US" w:eastAsia="zh-CN"/>
        </w:rPr>
        <w:t>付款方式：</w:t>
      </w:r>
    </w:p>
    <w:p>
      <w:pPr>
        <w:keepNext w:val="0"/>
        <w:keepLines w:val="0"/>
        <w:pageBreakBefore w:val="0"/>
        <w:kinsoku/>
        <w:wordWrap/>
        <w:overflowPunct/>
        <w:topLinePunct w:val="0"/>
        <w:autoSpaceDE/>
        <w:autoSpaceDN/>
        <w:bidi w:val="0"/>
        <w:adjustRightInd/>
        <w:snapToGrid/>
        <w:spacing w:beforeAutospacing="0" w:afterAutospacing="0" w:line="320" w:lineRule="exact"/>
        <w:ind w:firstLine="420" w:firstLineChars="200"/>
        <w:textAlignment w:val="auto"/>
        <w:rPr>
          <w:rFonts w:hint="eastAsia" w:ascii="宋体" w:hAnsi="宋体" w:cs="宋体"/>
          <w:sz w:val="21"/>
          <w:szCs w:val="21"/>
        </w:rPr>
      </w:pPr>
      <w:r>
        <w:rPr>
          <w:rFonts w:hint="eastAsia" w:ascii="宋体" w:hAnsi="宋体" w:cs="宋体"/>
          <w:sz w:val="21"/>
          <w:szCs w:val="21"/>
        </w:rPr>
        <w:t>根据实际供货量乘以单价进行支付，每批供货完毕验收合格后</w:t>
      </w:r>
      <w:r>
        <w:rPr>
          <w:rFonts w:hint="eastAsia" w:ascii="宋体" w:hAnsi="宋体" w:cs="宋体"/>
          <w:sz w:val="21"/>
          <w:szCs w:val="21"/>
          <w:lang w:val="en-US" w:eastAsia="zh-CN"/>
        </w:rPr>
        <w:t>6</w:t>
      </w:r>
      <w:r>
        <w:rPr>
          <w:rFonts w:hint="eastAsia" w:ascii="宋体" w:hAnsi="宋体" w:cs="宋体"/>
          <w:sz w:val="21"/>
          <w:szCs w:val="21"/>
        </w:rPr>
        <w:t>个月支付该批次合同款。</w:t>
      </w:r>
    </w:p>
    <w:p>
      <w:pPr>
        <w:keepNext w:val="0"/>
        <w:keepLines w:val="0"/>
        <w:pageBreakBefore w:val="0"/>
        <w:kinsoku/>
        <w:wordWrap/>
        <w:overflowPunct/>
        <w:topLinePunct w:val="0"/>
        <w:autoSpaceDE/>
        <w:autoSpaceDN/>
        <w:bidi w:val="0"/>
        <w:adjustRightInd/>
        <w:snapToGrid/>
        <w:spacing w:beforeAutospacing="0" w:afterAutospacing="0"/>
        <w:jc w:val="left"/>
        <w:textAlignment w:val="auto"/>
        <w:rPr>
          <w:rFonts w:hint="default" w:eastAsia="宋体"/>
          <w:sz w:val="21"/>
          <w:szCs w:val="21"/>
          <w:lang w:val="en-US" w:eastAsia="zh-CN"/>
        </w:rPr>
      </w:pPr>
    </w:p>
    <w:p>
      <w:pPr>
        <w:pStyle w:val="2"/>
        <w:rPr>
          <w:rFonts w:hint="eastAsia" w:ascii="宋体" w:hAnsi="宋体" w:eastAsia="宋体" w:cs="宋体"/>
          <w:b w:val="0"/>
          <w:bCs/>
          <w:sz w:val="21"/>
          <w:szCs w:val="21"/>
          <w:lang w:val="en-US" w:eastAsia="zh-CN"/>
        </w:rPr>
      </w:pPr>
      <w:r>
        <w:rPr>
          <w:rFonts w:hint="eastAsia" w:ascii="宋体" w:hAnsi="宋体" w:eastAsia="宋体" w:cs="宋体"/>
          <w:b/>
          <w:bCs w:val="0"/>
          <w:sz w:val="21"/>
          <w:szCs w:val="21"/>
          <w:lang w:val="en-US" w:eastAsia="zh-CN"/>
        </w:rPr>
        <w:t>注</w:t>
      </w:r>
      <w:r>
        <w:rPr>
          <w:rFonts w:hint="eastAsia" w:ascii="宋体" w:hAnsi="宋体" w:eastAsia="宋体" w:cs="宋体"/>
          <w:b w:val="0"/>
          <w:bCs/>
          <w:sz w:val="21"/>
          <w:szCs w:val="21"/>
          <w:lang w:val="en-US" w:eastAsia="zh-CN"/>
        </w:rPr>
        <w:t>：</w:t>
      </w:r>
    </w:p>
    <w:p>
      <w:pPr>
        <w:pStyle w:val="2"/>
        <w:rPr>
          <w:rFonts w:hint="eastAsia" w:ascii="宋体" w:hAnsi="宋体" w:eastAsia="宋体" w:cs="宋体"/>
          <w:b w:val="0"/>
          <w:bCs/>
          <w:sz w:val="24"/>
          <w:szCs w:val="24"/>
          <w:lang w:val="en-US" w:eastAsia="zh-CN"/>
        </w:rPr>
      </w:pPr>
      <w:r>
        <w:rPr>
          <w:rFonts w:hint="eastAsia" w:ascii="宋体" w:hAnsi="宋体" w:eastAsia="宋体" w:cs="宋体"/>
          <w:b w:val="0"/>
          <w:bCs/>
          <w:sz w:val="21"/>
          <w:szCs w:val="21"/>
          <w:lang w:val="en-US" w:eastAsia="zh-CN"/>
        </w:rPr>
        <w:t>清单中所列货物数量为年度需求量，中标人根据医院实际需求配送不同规格、单位的货物。</w:t>
      </w:r>
    </w:p>
    <w:p>
      <w:pPr>
        <w:rPr>
          <w:rFonts w:hint="eastAsia" w:ascii="宋体" w:hAnsi="宋体" w:eastAsia="宋体" w:cs="宋体"/>
          <w:b w:val="0"/>
          <w:bCs/>
          <w:sz w:val="24"/>
          <w:szCs w:val="24"/>
          <w:lang w:val="en-US" w:eastAsia="zh-CN"/>
        </w:rPr>
      </w:pPr>
    </w:p>
    <w:p>
      <w:pPr>
        <w:pStyle w:val="2"/>
        <w:rPr>
          <w:rFonts w:hint="eastAsia" w:ascii="宋体" w:hAnsi="宋体" w:eastAsia="宋体" w:cs="宋体"/>
          <w:b w:val="0"/>
          <w:bCs/>
          <w:sz w:val="24"/>
          <w:szCs w:val="24"/>
          <w:lang w:val="en-US" w:eastAsia="zh-CN"/>
        </w:rPr>
      </w:pPr>
    </w:p>
    <w:p>
      <w:pPr>
        <w:rPr>
          <w:rFonts w:hint="eastAsia" w:ascii="宋体" w:hAnsi="宋体" w:eastAsia="宋体" w:cs="宋体"/>
          <w:b w:val="0"/>
          <w:bCs/>
          <w:sz w:val="24"/>
          <w:szCs w:val="24"/>
          <w:lang w:val="en-US" w:eastAsia="zh-CN"/>
        </w:rPr>
      </w:pPr>
    </w:p>
    <w:p>
      <w:pPr>
        <w:pStyle w:val="2"/>
        <w:rPr>
          <w:rFonts w:hint="eastAsia"/>
          <w:lang w:val="en-US" w:eastAsia="zh-CN"/>
        </w:rPr>
      </w:pPr>
    </w:p>
    <w:p>
      <w:pPr>
        <w:pStyle w:val="3"/>
        <w:widowControl/>
      </w:pPr>
    </w:p>
    <w:p>
      <w:pPr>
        <w:jc w:val="both"/>
        <w:rPr>
          <w:rFonts w:hint="eastAsia" w:ascii="黑体" w:hAnsi="黑体" w:eastAsia="黑体" w:cs="黑体"/>
          <w:b/>
          <w:kern w:val="44"/>
          <w:sz w:val="44"/>
          <w:szCs w:val="44"/>
          <w:lang w:val="zh-CN" w:eastAsia="zh-CN" w:bidi="ar-SA"/>
        </w:rPr>
      </w:pPr>
    </w:p>
    <w:p>
      <w:pPr>
        <w:pStyle w:val="2"/>
        <w:rPr>
          <w:rFonts w:hint="eastAsia" w:ascii="黑体" w:hAnsi="黑体" w:eastAsia="黑体" w:cs="黑体"/>
          <w:b/>
          <w:kern w:val="44"/>
          <w:sz w:val="44"/>
          <w:szCs w:val="44"/>
          <w:lang w:val="zh-CN" w:eastAsia="zh-CN" w:bidi="ar-SA"/>
        </w:rPr>
      </w:pPr>
    </w:p>
    <w:p>
      <w:pPr>
        <w:rPr>
          <w:rFonts w:hint="eastAsia" w:ascii="黑体" w:hAnsi="黑体" w:eastAsia="黑体" w:cs="黑体"/>
          <w:b/>
          <w:kern w:val="44"/>
          <w:sz w:val="44"/>
          <w:szCs w:val="44"/>
          <w:lang w:val="zh-CN" w:eastAsia="zh-CN" w:bidi="ar-SA"/>
        </w:rPr>
      </w:pPr>
    </w:p>
    <w:p>
      <w:pPr>
        <w:pStyle w:val="2"/>
        <w:rPr>
          <w:rFonts w:hint="eastAsia" w:ascii="黑体" w:hAnsi="黑体" w:eastAsia="黑体" w:cs="黑体"/>
          <w:b/>
          <w:kern w:val="44"/>
          <w:sz w:val="44"/>
          <w:szCs w:val="44"/>
          <w:lang w:val="zh-CN" w:eastAsia="zh-CN" w:bidi="ar-SA"/>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DD098D"/>
    <w:multiLevelType w:val="singleLevel"/>
    <w:tmpl w:val="91DD098D"/>
    <w:lvl w:ilvl="0" w:tentative="0">
      <w:start w:val="9"/>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76536A"/>
    <w:rsid w:val="277653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jc w:val="left"/>
    </w:pPr>
    <w:rPr>
      <w:kern w:val="0"/>
      <w:sz w:val="20"/>
      <w:szCs w:val="20"/>
    </w:rPr>
  </w:style>
  <w:style w:type="paragraph" w:styleId="3">
    <w:name w:val="Normal (Web)"/>
    <w:basedOn w:val="1"/>
    <w:qFormat/>
    <w:uiPriority w:val="99"/>
    <w:pPr>
      <w:widowControl/>
      <w:shd w:val="clear" w:color="auto" w:fill="FFFFFF"/>
      <w:spacing w:line="360" w:lineRule="auto"/>
      <w:ind w:firstLine="480" w:firstLineChars="200"/>
      <w:contextualSpacing/>
    </w:pPr>
    <w:rPr>
      <w:rFonts w:ascii="宋体" w:hAnsi="宋体"/>
      <w:color w:val="000000"/>
      <w:kern w:val="0"/>
      <w:sz w:val="24"/>
      <w:szCs w:val="24"/>
      <w:shd w:val="clear" w:color="auto" w:fill="FFFFFF"/>
      <w:lang w:val="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2022-01-06T10:56:00Z</dcterms:created>
  <dc:creator>Administrator</dc:creator>
  <cp:lastModifiedBy>Administrator</cp:lastModifiedBy>
  <dcterms:modified xsi:type="dcterms:W3CDTF">2022-01-06T10:58:01Z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28D6F3EBCD234545B6798C820BC38C32</vt:lpwstr>
  </property>
</Properties>
</file>