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both"/>
        <w:rPr>
          <w:rFonts w:hint="eastAsia" w:ascii="宋体" w:hAnsi="宋体" w:cs="宋体"/>
          <w:kern w:val="2"/>
          <w:sz w:val="28"/>
          <w:szCs w:val="28"/>
        </w:rPr>
      </w:pPr>
      <w:r>
        <w:rPr>
          <w:rFonts w:hint="eastAsia" w:ascii="宋体" w:hAnsi="宋体" w:cs="宋体"/>
          <w:kern w:val="2"/>
          <w:sz w:val="28"/>
          <w:szCs w:val="28"/>
          <w:lang w:val="en-US" w:eastAsia="zh-CN"/>
        </w:rPr>
        <w:t>二氧化碳、液氮、标准混合气体（食品级）</w:t>
      </w:r>
      <w:r>
        <w:rPr>
          <w:rFonts w:hint="eastAsia" w:ascii="宋体" w:hAnsi="宋体" w:cs="宋体"/>
          <w:kern w:val="2"/>
          <w:sz w:val="28"/>
          <w:szCs w:val="28"/>
        </w:rPr>
        <w:t>采购内容及总体要求</w:t>
      </w:r>
    </w:p>
    <w:tbl>
      <w:tblPr>
        <w:tblStyle w:val="4"/>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2401"/>
        <w:gridCol w:w="2930"/>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68" w:type="pct"/>
            <w:shd w:val="clear" w:color="auto" w:fill="auto"/>
            <w:noWrap/>
            <w:vAlign w:val="center"/>
          </w:tcPr>
          <w:p>
            <w:pPr>
              <w:widowControl/>
              <w:spacing w:line="300" w:lineRule="exact"/>
              <w:jc w:val="center"/>
              <w:rPr>
                <w:rFonts w:ascii="宋体" w:hAnsi="宋体" w:cs="Arial"/>
                <w:color w:val="000000"/>
                <w:kern w:val="0"/>
                <w:sz w:val="28"/>
                <w:szCs w:val="28"/>
              </w:rPr>
            </w:pPr>
            <w:r>
              <w:rPr>
                <w:rFonts w:hint="eastAsia" w:ascii="宋体" w:hAnsi="宋体" w:cs="Arial"/>
                <w:color w:val="000000"/>
                <w:kern w:val="0"/>
                <w:sz w:val="28"/>
                <w:szCs w:val="28"/>
              </w:rPr>
              <w:t>序号</w:t>
            </w:r>
          </w:p>
        </w:tc>
        <w:tc>
          <w:tcPr>
            <w:tcW w:w="1531" w:type="pct"/>
            <w:shd w:val="clear" w:color="auto" w:fill="FFFFFF"/>
            <w:noWrap w:val="0"/>
            <w:vAlign w:val="center"/>
          </w:tcPr>
          <w:p>
            <w:pPr>
              <w:widowControl/>
              <w:spacing w:line="300" w:lineRule="exact"/>
              <w:ind w:firstLine="280" w:firstLineChars="100"/>
              <w:rPr>
                <w:rFonts w:ascii="Arial" w:hAnsi="Arial" w:cs="Arial"/>
                <w:kern w:val="0"/>
                <w:sz w:val="28"/>
                <w:szCs w:val="28"/>
              </w:rPr>
            </w:pPr>
            <w:r>
              <w:rPr>
                <w:rFonts w:hint="eastAsia" w:ascii="Arial" w:hAnsi="Arial" w:cs="Arial"/>
                <w:kern w:val="0"/>
                <w:sz w:val="28"/>
                <w:szCs w:val="28"/>
              </w:rPr>
              <w:t>货物</w:t>
            </w:r>
            <w:r>
              <w:rPr>
                <w:rFonts w:ascii="Arial" w:hAnsi="Arial" w:cs="Arial"/>
                <w:kern w:val="0"/>
                <w:sz w:val="28"/>
                <w:szCs w:val="28"/>
              </w:rPr>
              <w:t>名称</w:t>
            </w:r>
          </w:p>
        </w:tc>
        <w:tc>
          <w:tcPr>
            <w:tcW w:w="1868" w:type="pct"/>
            <w:shd w:val="clear" w:color="auto" w:fill="FFFFFF"/>
            <w:noWrap w:val="0"/>
            <w:vAlign w:val="center"/>
          </w:tcPr>
          <w:p>
            <w:pPr>
              <w:widowControl/>
              <w:spacing w:line="300" w:lineRule="exact"/>
              <w:jc w:val="center"/>
              <w:rPr>
                <w:rFonts w:ascii="宋体" w:hAnsi="宋体" w:cs="Arial"/>
                <w:kern w:val="0"/>
                <w:sz w:val="28"/>
                <w:szCs w:val="28"/>
              </w:rPr>
            </w:pPr>
            <w:r>
              <w:rPr>
                <w:rFonts w:hint="eastAsia" w:ascii="宋体" w:hAnsi="宋体" w:cs="Arial"/>
                <w:kern w:val="0"/>
                <w:sz w:val="28"/>
                <w:szCs w:val="28"/>
              </w:rPr>
              <w:t>规格</w:t>
            </w:r>
          </w:p>
        </w:tc>
        <w:tc>
          <w:tcPr>
            <w:tcW w:w="1031" w:type="pct"/>
            <w:shd w:val="clear" w:color="auto" w:fill="FFFFFF"/>
            <w:noWrap/>
            <w:vAlign w:val="center"/>
          </w:tcPr>
          <w:p>
            <w:pPr>
              <w:widowControl/>
              <w:spacing w:line="300" w:lineRule="exact"/>
              <w:jc w:val="center"/>
              <w:rPr>
                <w:rFonts w:hint="eastAsia" w:ascii="宋体" w:hAnsi="宋体" w:cs="Arial"/>
                <w:kern w:val="0"/>
                <w:sz w:val="28"/>
                <w:szCs w:val="28"/>
              </w:rPr>
            </w:pPr>
            <w:r>
              <w:rPr>
                <w:rFonts w:hint="eastAsia" w:ascii="宋体" w:hAnsi="宋体" w:cs="Arial"/>
                <w:kern w:val="0"/>
                <w:sz w:val="28"/>
                <w:szCs w:val="28"/>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68" w:type="pct"/>
            <w:shd w:val="clear" w:color="auto" w:fill="auto"/>
            <w:noWrap/>
            <w:vAlign w:val="center"/>
          </w:tcPr>
          <w:p>
            <w:pPr>
              <w:widowControl/>
              <w:spacing w:line="300" w:lineRule="exact"/>
              <w:jc w:val="center"/>
              <w:rPr>
                <w:rFonts w:hint="eastAsia" w:ascii="Arial" w:hAnsi="Arial" w:eastAsia="宋体" w:cs="Arial"/>
                <w:kern w:val="0"/>
                <w:sz w:val="28"/>
                <w:szCs w:val="28"/>
                <w:lang w:val="en-US" w:eastAsia="zh-CN" w:bidi="ar-SA"/>
              </w:rPr>
            </w:pPr>
            <w:r>
              <w:rPr>
                <w:rFonts w:ascii="Arial" w:hAnsi="Arial" w:cs="Arial"/>
                <w:kern w:val="0"/>
                <w:sz w:val="28"/>
                <w:szCs w:val="28"/>
              </w:rPr>
              <w:t>1</w:t>
            </w:r>
          </w:p>
        </w:tc>
        <w:tc>
          <w:tcPr>
            <w:tcW w:w="1531" w:type="pct"/>
            <w:shd w:val="clear" w:color="auto" w:fill="FFFFFF"/>
            <w:noWrap w:val="0"/>
            <w:vAlign w:val="center"/>
          </w:tcPr>
          <w:p>
            <w:pPr>
              <w:widowControl/>
              <w:spacing w:line="300" w:lineRule="exact"/>
              <w:jc w:val="left"/>
              <w:rPr>
                <w:rFonts w:hint="eastAsia" w:ascii="Arial" w:hAnsi="Arial" w:eastAsia="宋体" w:cs="Arial"/>
                <w:kern w:val="0"/>
                <w:sz w:val="28"/>
                <w:szCs w:val="28"/>
                <w:lang w:val="en-US" w:eastAsia="zh-CN" w:bidi="ar-SA"/>
              </w:rPr>
            </w:pPr>
            <w:r>
              <w:rPr>
                <w:rFonts w:hint="eastAsia" w:ascii="Arial" w:hAnsi="Arial" w:cs="Arial"/>
                <w:kern w:val="0"/>
                <w:sz w:val="28"/>
                <w:szCs w:val="28"/>
              </w:rPr>
              <w:t>二氧化碳</w:t>
            </w:r>
          </w:p>
        </w:tc>
        <w:tc>
          <w:tcPr>
            <w:tcW w:w="1868" w:type="pct"/>
            <w:shd w:val="clear" w:color="auto" w:fill="FFFFFF"/>
            <w:noWrap w:val="0"/>
            <w:vAlign w:val="center"/>
          </w:tcPr>
          <w:p>
            <w:pPr>
              <w:widowControl/>
              <w:spacing w:line="360" w:lineRule="auto"/>
              <w:jc w:val="center"/>
              <w:rPr>
                <w:rFonts w:hint="eastAsia" w:ascii="Arial" w:hAnsi="Arial" w:eastAsia="宋体" w:cs="Arial"/>
                <w:kern w:val="0"/>
                <w:sz w:val="28"/>
                <w:szCs w:val="28"/>
                <w:lang w:val="en-US" w:eastAsia="zh-CN" w:bidi="ar-SA"/>
              </w:rPr>
            </w:pPr>
            <w:r>
              <w:rPr>
                <w:rFonts w:hint="eastAsia" w:ascii="Arial" w:hAnsi="Arial" w:cs="Arial"/>
                <w:kern w:val="0"/>
                <w:sz w:val="28"/>
                <w:szCs w:val="28"/>
                <w:lang w:val="en-US" w:eastAsia="zh-CN"/>
              </w:rPr>
              <w:t>40升</w:t>
            </w:r>
            <w:r>
              <w:rPr>
                <w:rFonts w:hint="eastAsia" w:ascii="Arial" w:hAnsi="Arial" w:cs="Arial"/>
                <w:kern w:val="0"/>
                <w:sz w:val="28"/>
                <w:szCs w:val="28"/>
              </w:rPr>
              <w:t>/瓶</w:t>
            </w:r>
          </w:p>
        </w:tc>
        <w:tc>
          <w:tcPr>
            <w:tcW w:w="1031" w:type="pct"/>
            <w:shd w:val="clear" w:color="auto" w:fill="FFFFFF"/>
            <w:noWrap/>
            <w:vAlign w:val="center"/>
          </w:tcPr>
          <w:p>
            <w:pPr>
              <w:widowControl/>
              <w:spacing w:line="300" w:lineRule="exact"/>
              <w:jc w:val="center"/>
              <w:rPr>
                <w:rFonts w:hint="eastAsia" w:ascii="Arial" w:hAnsi="Arial" w:eastAsia="宋体" w:cs="Arial"/>
                <w:kern w:val="0"/>
                <w:sz w:val="28"/>
                <w:szCs w:val="28"/>
                <w:lang w:val="en-US" w:eastAsia="zh-CN" w:bidi="ar-SA"/>
              </w:rPr>
            </w:pPr>
            <w:r>
              <w:rPr>
                <w:rFonts w:hint="eastAsia" w:ascii="Arial" w:hAnsi="Arial" w:cs="Arial"/>
                <w:kern w:val="0"/>
                <w:sz w:val="28"/>
                <w:szCs w:val="28"/>
                <w:lang w:val="en-US" w:eastAsia="zh-CN"/>
              </w:rPr>
              <w:t xml:space="preserve">360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68" w:type="pct"/>
            <w:shd w:val="clear" w:color="auto" w:fill="auto"/>
            <w:noWrap/>
            <w:vAlign w:val="center"/>
          </w:tcPr>
          <w:p>
            <w:pPr>
              <w:widowControl/>
              <w:spacing w:line="300" w:lineRule="exact"/>
              <w:jc w:val="center"/>
              <w:rPr>
                <w:rFonts w:hint="eastAsia" w:ascii="宋体" w:hAnsi="宋体" w:eastAsia="宋体" w:cs="Arial"/>
                <w:color w:val="000000"/>
                <w:kern w:val="0"/>
                <w:sz w:val="28"/>
                <w:szCs w:val="28"/>
                <w:lang w:val="en-US" w:eastAsia="zh-CN"/>
              </w:rPr>
            </w:pPr>
            <w:r>
              <w:rPr>
                <w:rFonts w:hint="eastAsia" w:ascii="宋体" w:hAnsi="宋体" w:cs="Arial"/>
                <w:color w:val="000000"/>
                <w:kern w:val="0"/>
                <w:sz w:val="28"/>
                <w:szCs w:val="28"/>
                <w:lang w:val="en-US" w:eastAsia="zh-CN"/>
              </w:rPr>
              <w:t>2</w:t>
            </w:r>
          </w:p>
        </w:tc>
        <w:tc>
          <w:tcPr>
            <w:tcW w:w="1531" w:type="pct"/>
            <w:shd w:val="clear" w:color="auto" w:fill="FFFFFF"/>
            <w:noWrap w:val="0"/>
            <w:vAlign w:val="center"/>
          </w:tcPr>
          <w:p>
            <w:pPr>
              <w:widowControl/>
              <w:spacing w:line="300" w:lineRule="exact"/>
              <w:ind w:firstLine="320" w:firstLineChars="100"/>
              <w:rPr>
                <w:rFonts w:hint="eastAsia" w:ascii="Arial" w:hAnsi="Arial" w:cs="Arial"/>
                <w:kern w:val="0"/>
                <w:sz w:val="28"/>
                <w:szCs w:val="28"/>
              </w:rPr>
            </w:pPr>
            <w:r>
              <w:rPr>
                <w:rFonts w:hint="eastAsia" w:ascii="仿宋_GB2312" w:hAnsi="仿宋_GB2312" w:eastAsia="仿宋_GB2312" w:cs="仿宋_GB2312"/>
                <w:b w:val="0"/>
                <w:bCs/>
                <w:sz w:val="32"/>
                <w:szCs w:val="32"/>
                <w:lang w:eastAsia="zh-CN"/>
              </w:rPr>
              <w:t>液氮</w:t>
            </w:r>
          </w:p>
        </w:tc>
        <w:tc>
          <w:tcPr>
            <w:tcW w:w="1868" w:type="pct"/>
            <w:shd w:val="clear" w:color="auto" w:fill="FFFFFF"/>
            <w:noWrap w:val="0"/>
            <w:vAlign w:val="center"/>
          </w:tcPr>
          <w:p>
            <w:pPr>
              <w:widowControl/>
              <w:spacing w:line="300" w:lineRule="exact"/>
              <w:jc w:val="center"/>
              <w:rPr>
                <w:rFonts w:hint="eastAsia" w:ascii="宋体" w:hAnsi="宋体" w:cs="Arial"/>
                <w:kern w:val="0"/>
                <w:sz w:val="28"/>
                <w:szCs w:val="28"/>
              </w:rPr>
            </w:pPr>
            <w:r>
              <w:rPr>
                <w:rFonts w:hint="eastAsia" w:ascii="Arial" w:hAnsi="Arial" w:cs="Arial"/>
                <w:kern w:val="0"/>
                <w:sz w:val="28"/>
                <w:szCs w:val="28"/>
                <w:lang w:val="en-US" w:eastAsia="zh-CN"/>
              </w:rPr>
              <w:t>10升</w:t>
            </w:r>
            <w:r>
              <w:rPr>
                <w:rFonts w:hint="eastAsia" w:ascii="Arial" w:hAnsi="Arial" w:cs="Arial"/>
                <w:kern w:val="0"/>
                <w:sz w:val="28"/>
                <w:szCs w:val="28"/>
              </w:rPr>
              <w:t>/瓶</w:t>
            </w:r>
          </w:p>
        </w:tc>
        <w:tc>
          <w:tcPr>
            <w:tcW w:w="1031" w:type="pct"/>
            <w:shd w:val="clear" w:color="auto" w:fill="FFFFFF"/>
            <w:noWrap/>
            <w:vAlign w:val="center"/>
          </w:tcPr>
          <w:p>
            <w:pPr>
              <w:widowControl/>
              <w:spacing w:line="300" w:lineRule="exact"/>
              <w:jc w:val="center"/>
              <w:rPr>
                <w:rFonts w:hint="default" w:ascii="宋体" w:hAnsi="宋体" w:eastAsia="宋体" w:cs="Arial"/>
                <w:kern w:val="0"/>
                <w:sz w:val="28"/>
                <w:szCs w:val="28"/>
                <w:lang w:val="en-US" w:eastAsia="zh-CN"/>
              </w:rPr>
            </w:pPr>
            <w:r>
              <w:rPr>
                <w:rFonts w:hint="eastAsia" w:ascii="宋体" w:hAnsi="宋体" w:cs="Arial"/>
                <w:kern w:val="0"/>
                <w:sz w:val="28"/>
                <w:szCs w:val="28"/>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568" w:type="pct"/>
            <w:shd w:val="clear" w:color="auto" w:fill="auto"/>
            <w:noWrap/>
            <w:vAlign w:val="center"/>
          </w:tcPr>
          <w:p>
            <w:pPr>
              <w:widowControl/>
              <w:spacing w:line="300" w:lineRule="exact"/>
              <w:jc w:val="center"/>
              <w:rPr>
                <w:rFonts w:hint="eastAsia" w:ascii="Arial" w:hAnsi="Arial" w:eastAsia="宋体" w:cs="Arial"/>
                <w:kern w:val="0"/>
                <w:sz w:val="28"/>
                <w:szCs w:val="28"/>
                <w:lang w:val="en-US" w:eastAsia="zh-CN"/>
              </w:rPr>
            </w:pPr>
            <w:r>
              <w:rPr>
                <w:rFonts w:hint="eastAsia" w:ascii="Arial" w:hAnsi="Arial" w:cs="Arial"/>
                <w:kern w:val="0"/>
                <w:sz w:val="28"/>
                <w:szCs w:val="28"/>
                <w:lang w:val="en-US" w:eastAsia="zh-CN"/>
              </w:rPr>
              <w:t>3</w:t>
            </w:r>
          </w:p>
        </w:tc>
        <w:tc>
          <w:tcPr>
            <w:tcW w:w="1531" w:type="pct"/>
            <w:shd w:val="clear" w:color="auto" w:fill="FFFFFF"/>
            <w:noWrap w:val="0"/>
            <w:vAlign w:val="center"/>
          </w:tcPr>
          <w:p>
            <w:pPr>
              <w:widowControl/>
              <w:spacing w:line="300" w:lineRule="exact"/>
              <w:jc w:val="left"/>
              <w:rPr>
                <w:rFonts w:hint="eastAsia" w:ascii="Arial" w:hAnsi="Arial" w:cs="Arial"/>
                <w:kern w:val="0"/>
                <w:sz w:val="28"/>
                <w:szCs w:val="28"/>
              </w:rPr>
            </w:pPr>
            <w:r>
              <w:rPr>
                <w:rFonts w:hint="eastAsia" w:ascii="仿宋_GB2312" w:hAnsi="仿宋_GB2312" w:eastAsia="仿宋_GB2312" w:cs="仿宋_GB2312"/>
                <w:sz w:val="32"/>
                <w:szCs w:val="32"/>
                <w:vertAlign w:val="baseline"/>
                <w:lang w:eastAsia="zh-CN"/>
              </w:rPr>
              <w:t>标准混合气体</w:t>
            </w:r>
          </w:p>
        </w:tc>
        <w:tc>
          <w:tcPr>
            <w:tcW w:w="1868" w:type="pct"/>
            <w:shd w:val="clear" w:color="auto" w:fill="FFFFFF"/>
            <w:noWrap w:val="0"/>
            <w:vAlign w:val="center"/>
          </w:tcPr>
          <w:p>
            <w:pPr>
              <w:widowControl/>
              <w:spacing w:line="300" w:lineRule="exact"/>
              <w:jc w:val="center"/>
              <w:rPr>
                <w:rFonts w:hint="eastAsia" w:ascii="Arial" w:hAnsi="Arial" w:cs="Arial"/>
                <w:kern w:val="0"/>
                <w:sz w:val="28"/>
                <w:szCs w:val="28"/>
              </w:rPr>
            </w:pPr>
            <w:r>
              <w:rPr>
                <w:rFonts w:hint="eastAsia" w:ascii="Arial" w:hAnsi="Arial" w:cs="Arial"/>
                <w:kern w:val="0"/>
                <w:sz w:val="28"/>
                <w:szCs w:val="28"/>
                <w:lang w:val="en-US" w:eastAsia="zh-CN"/>
              </w:rPr>
              <w:t>40升</w:t>
            </w:r>
            <w:r>
              <w:rPr>
                <w:rFonts w:hint="eastAsia" w:ascii="Arial" w:hAnsi="Arial" w:cs="Arial"/>
                <w:kern w:val="0"/>
                <w:sz w:val="28"/>
                <w:szCs w:val="28"/>
              </w:rPr>
              <w:t>/瓶</w:t>
            </w:r>
          </w:p>
        </w:tc>
        <w:tc>
          <w:tcPr>
            <w:tcW w:w="1031" w:type="pct"/>
            <w:shd w:val="clear" w:color="auto" w:fill="FFFFFF"/>
            <w:noWrap/>
            <w:vAlign w:val="center"/>
          </w:tcPr>
          <w:p>
            <w:pPr>
              <w:widowControl/>
              <w:spacing w:line="300" w:lineRule="exact"/>
              <w:jc w:val="center"/>
              <w:rPr>
                <w:rFonts w:hint="default" w:ascii="Arial" w:hAnsi="Arial" w:eastAsia="宋体" w:cs="Arial"/>
                <w:kern w:val="0"/>
                <w:sz w:val="28"/>
                <w:szCs w:val="28"/>
                <w:lang w:val="en-US" w:eastAsia="zh-CN"/>
              </w:rPr>
            </w:pPr>
            <w:r>
              <w:rPr>
                <w:rFonts w:hint="eastAsia" w:ascii="Arial" w:hAnsi="Arial" w:cs="Arial"/>
                <w:kern w:val="0"/>
                <w:sz w:val="28"/>
                <w:szCs w:val="28"/>
                <w:lang w:val="en-US" w:eastAsia="zh-CN"/>
              </w:rPr>
              <w:t>3300</w:t>
            </w:r>
          </w:p>
        </w:tc>
      </w:tr>
    </w:tbl>
    <w:p>
      <w:pPr>
        <w:widowControl/>
        <w:spacing w:line="360" w:lineRule="auto"/>
        <w:jc w:val="left"/>
        <w:rPr>
          <w:rFonts w:hint="eastAsia" w:ascii="宋体" w:hAnsi="宋体" w:cs="宋体"/>
          <w:b/>
          <w:color w:val="FF0000"/>
          <w:sz w:val="24"/>
          <w:szCs w:val="24"/>
        </w:rPr>
      </w:pPr>
    </w:p>
    <w:p>
      <w:pPr>
        <w:pStyle w:val="2"/>
        <w:jc w:val="center"/>
        <w:rPr>
          <w:rFonts w:hint="default" w:eastAsia="黑体"/>
          <w:color w:val="000000" w:themeColor="text1"/>
          <w:lang w:val="en-US" w:eastAsia="zh-CN"/>
          <w14:textFill>
            <w14:solidFill>
              <w14:schemeClr w14:val="tx1"/>
            </w14:solidFill>
          </w14:textFill>
        </w:rPr>
      </w:pP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一</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技术参数</w:t>
      </w:r>
    </w:p>
    <w:tbl>
      <w:tblPr>
        <w:tblStyle w:val="4"/>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380"/>
        <w:gridCol w:w="4455"/>
        <w:gridCol w:w="991"/>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序号</w:t>
            </w:r>
          </w:p>
        </w:tc>
        <w:tc>
          <w:tcPr>
            <w:tcW w:w="818" w:type="pct"/>
            <w:shd w:val="clear" w:color="auto" w:fill="FFFFFF"/>
            <w:noWrap w:val="0"/>
            <w:vAlign w:val="center"/>
          </w:tcPr>
          <w:p>
            <w:pPr>
              <w:widowControl/>
              <w:spacing w:line="300" w:lineRule="exact"/>
              <w:ind w:firstLine="211" w:firstLineChars="100"/>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货物名称</w:t>
            </w:r>
          </w:p>
        </w:tc>
        <w:tc>
          <w:tcPr>
            <w:tcW w:w="2643" w:type="pct"/>
            <w:shd w:val="clear" w:color="auto" w:fill="FFFFFF"/>
            <w:noWrap w:val="0"/>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eastAsia="zh-CN"/>
              </w:rPr>
              <w:t>技术参数</w:t>
            </w: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规格</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rPr>
              <w:t>1</w:t>
            </w:r>
          </w:p>
        </w:tc>
        <w:tc>
          <w:tcPr>
            <w:tcW w:w="818" w:type="pct"/>
            <w:shd w:val="clear" w:color="auto" w:fill="FFFFFF"/>
            <w:noWrap w:val="0"/>
            <w:vAlign w:val="center"/>
          </w:tcPr>
          <w:p>
            <w:pPr>
              <w:widowControl/>
              <w:spacing w:line="300" w:lineRule="exact"/>
              <w:ind w:firstLine="211" w:firstLineChars="100"/>
              <w:jc w:val="left"/>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二氧化碳</w:t>
            </w:r>
          </w:p>
          <w:p>
            <w:pPr>
              <w:widowControl/>
              <w:spacing w:line="300" w:lineRule="exact"/>
              <w:jc w:val="left"/>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lang w:eastAsia="zh-CN"/>
              </w:rPr>
              <w:t>（食品级）</w:t>
            </w:r>
          </w:p>
        </w:tc>
        <w:tc>
          <w:tcPr>
            <w:tcW w:w="2643"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sz w:val="21"/>
                <w:szCs w:val="21"/>
              </w:rPr>
              <w:t>干冰（固态）等 [7] 化学式CO₂ 分子量44.0095 [1] CAS登录号124－38－9 [2] EINECS登录号204-696-9 [2] 熔    点-56.6（527kPa） [2] 沸    点-78.5（升华） [2] 水溶性小于0.05%（22.9℃） [2] 外    观常温常压下是一种无色无味或无色无嗅而略有酸味的气体闪    点无 [2] 应    用冷藏易腐败的食品、做制冷剂、制造碳化软饮料等 [2] 气态密度1.997g/L（0℃，101.325kPa） [8] 液态密度0.9295kg/L（0℃，101.3485kPa） [8] 固态密度1.56kg/L（-79℃） [2] 三相点-56.6℃（517.97kPa） [8] 制备方法石灰石和稀盐酸反应制取等 [2] 分子直径0.35～0.51nm [9] 二氧化碳（食品添加剂）与普通二氧化碳就是纯度的区别，大于等于99.9%。</w:t>
            </w: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40升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lang w:val="en-US" w:eastAsia="zh-CN"/>
              </w:rPr>
              <w:t xml:space="preserve">360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color w:val="000000"/>
                <w:kern w:val="0"/>
                <w:sz w:val="21"/>
                <w:szCs w:val="21"/>
                <w:lang w:val="en-US" w:eastAsia="zh-CN"/>
              </w:rPr>
            </w:pPr>
            <w:r>
              <w:rPr>
                <w:rFonts w:hint="eastAsia" w:ascii="仿宋_GB2312" w:hAnsi="仿宋_GB2312" w:eastAsia="仿宋_GB2312" w:cs="仿宋_GB2312"/>
                <w:b/>
                <w:bCs/>
                <w:color w:val="000000"/>
                <w:kern w:val="0"/>
                <w:sz w:val="21"/>
                <w:szCs w:val="21"/>
                <w:lang w:val="en-US" w:eastAsia="zh-CN"/>
              </w:rPr>
              <w:t>2</w:t>
            </w:r>
          </w:p>
        </w:tc>
        <w:tc>
          <w:tcPr>
            <w:tcW w:w="818" w:type="pct"/>
            <w:shd w:val="clear" w:color="auto" w:fill="FFFFFF"/>
            <w:noWrap w:val="0"/>
            <w:vAlign w:val="center"/>
          </w:tcPr>
          <w:p>
            <w:pPr>
              <w:widowControl/>
              <w:spacing w:line="300" w:lineRule="exact"/>
              <w:ind w:firstLine="422" w:firstLineChars="200"/>
              <w:rPr>
                <w:rFonts w:hint="eastAsia" w:ascii="仿宋_GB2312" w:hAnsi="仿宋_GB2312" w:eastAsia="仿宋_GB2312" w:cs="仿宋_GB2312"/>
                <w:b/>
                <w:bCs/>
                <w:sz w:val="21"/>
                <w:szCs w:val="21"/>
                <w:lang w:eastAsia="zh-CN"/>
              </w:rPr>
            </w:pPr>
            <w:r>
              <w:rPr>
                <w:rFonts w:hint="eastAsia" w:ascii="仿宋_GB2312" w:hAnsi="仿宋_GB2312" w:eastAsia="仿宋_GB2312" w:cs="仿宋_GB2312"/>
                <w:b/>
                <w:bCs/>
                <w:sz w:val="21"/>
                <w:szCs w:val="21"/>
                <w:lang w:eastAsia="zh-CN"/>
              </w:rPr>
              <w:t>液氮</w:t>
            </w:r>
          </w:p>
          <w:p>
            <w:pPr>
              <w:widowControl/>
              <w:spacing w:line="300" w:lineRule="exact"/>
              <w:jc w:val="left"/>
              <w:rPr>
                <w:rFonts w:hint="eastAsia"/>
                <w:lang w:eastAsia="zh-CN"/>
              </w:rPr>
            </w:pPr>
            <w:r>
              <w:rPr>
                <w:rFonts w:hint="eastAsia" w:ascii="仿宋_GB2312" w:hAnsi="仿宋_GB2312" w:eastAsia="仿宋_GB2312" w:cs="仿宋_GB2312"/>
                <w:b/>
                <w:bCs/>
                <w:kern w:val="0"/>
                <w:sz w:val="21"/>
                <w:szCs w:val="21"/>
                <w:lang w:eastAsia="zh-CN"/>
              </w:rPr>
              <w:t>（食品级）</w:t>
            </w:r>
          </w:p>
          <w:p>
            <w:pPr>
              <w:widowControl/>
              <w:spacing w:line="300" w:lineRule="exact"/>
              <w:rPr>
                <w:rFonts w:hint="eastAsia" w:ascii="仿宋_GB2312" w:hAnsi="仿宋_GB2312" w:eastAsia="仿宋_GB2312" w:cs="仿宋_GB2312"/>
                <w:b/>
                <w:bCs/>
                <w:kern w:val="0"/>
                <w:sz w:val="21"/>
                <w:szCs w:val="21"/>
              </w:rPr>
            </w:pPr>
          </w:p>
        </w:tc>
        <w:tc>
          <w:tcPr>
            <w:tcW w:w="2643" w:type="pct"/>
            <w:shd w:val="clear" w:color="auto" w:fill="FFFFFF"/>
            <w:noWrap w:val="0"/>
            <w:vAlign w:val="center"/>
          </w:tcPr>
          <w:p>
            <w:pPr>
              <w:numPr>
                <w:ilvl w:val="0"/>
                <w:numId w:val="0"/>
              </w:numP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CO  0.28*10-2、HE  9.93*10-2、AIR  余量。</w:t>
            </w:r>
          </w:p>
          <w:p>
            <w:pPr>
              <w:widowControl/>
              <w:spacing w:line="300" w:lineRule="exact"/>
              <w:jc w:val="center"/>
              <w:rPr>
                <w:rFonts w:hint="eastAsia" w:ascii="仿宋_GB2312" w:hAnsi="仿宋_GB2312" w:eastAsia="仿宋_GB2312" w:cs="仿宋_GB2312"/>
                <w:b/>
                <w:bCs/>
                <w:kern w:val="0"/>
                <w:sz w:val="21"/>
                <w:szCs w:val="21"/>
              </w:rPr>
            </w:pP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10升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w:t>
            </w:r>
          </w:p>
        </w:tc>
        <w:tc>
          <w:tcPr>
            <w:tcW w:w="818" w:type="pct"/>
            <w:shd w:val="clear" w:color="auto" w:fill="FFFFFF"/>
            <w:noWrap w:val="0"/>
            <w:vAlign w:val="center"/>
          </w:tcPr>
          <w:p>
            <w:pPr>
              <w:pStyle w:val="2"/>
              <w:rPr>
                <w:rFonts w:hint="default" w:eastAsia="黑体"/>
                <w:lang w:val="en-US" w:eastAsia="zh-CN"/>
              </w:rPr>
            </w:pPr>
            <w:r>
              <w:rPr>
                <w:rFonts w:hint="eastAsia" w:ascii="仿宋_GB2312" w:hAnsi="仿宋_GB2312" w:eastAsia="仿宋_GB2312" w:cs="仿宋_GB2312"/>
                <w:b/>
                <w:bCs/>
                <w:kern w:val="0"/>
                <w:sz w:val="21"/>
                <w:szCs w:val="21"/>
                <w:lang w:val="en-US" w:eastAsia="zh-CN" w:bidi="ar-SA"/>
              </w:rPr>
              <w:t>标准混合气体（食品级）</w:t>
            </w:r>
          </w:p>
        </w:tc>
        <w:tc>
          <w:tcPr>
            <w:tcW w:w="2643" w:type="pct"/>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526" w:afterAutospacing="0" w:line="390" w:lineRule="atLeast"/>
              <w:ind w:left="0" w:right="0"/>
              <w:rPr>
                <w:rFonts w:hint="eastAsia" w:ascii="仿宋_GB2312" w:hAnsi="仿宋_GB2312" w:eastAsia="仿宋_GB2312" w:cs="仿宋_GB2312"/>
                <w:b/>
                <w:bCs/>
                <w:color w:val="auto"/>
                <w:sz w:val="21"/>
                <w:szCs w:val="21"/>
                <w:lang w:eastAsia="zh-CN"/>
              </w:rPr>
            </w:pPr>
            <w:r>
              <w:rPr>
                <w:rFonts w:hint="eastAsia" w:ascii="仿宋_GB2312" w:hAnsi="仿宋_GB2312" w:eastAsia="仿宋_GB2312" w:cs="仿宋_GB2312"/>
                <w:b/>
                <w:bCs/>
                <w:i w:val="0"/>
                <w:caps w:val="0"/>
                <w:color w:val="auto"/>
                <w:spacing w:val="0"/>
                <w:sz w:val="21"/>
                <w:szCs w:val="21"/>
                <w:shd w:val="clear" w:color="auto" w:fill="FFFFFF"/>
              </w:rPr>
              <w:t>化学式</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N</w:t>
            </w:r>
            <w:r>
              <w:rPr>
                <w:rFonts w:hint="eastAsia" w:ascii="仿宋_GB2312" w:hAnsi="仿宋_GB2312" w:eastAsia="仿宋_GB2312" w:cs="仿宋_GB2312"/>
                <w:b/>
                <w:bCs/>
                <w:i w:val="0"/>
                <w:caps w:val="0"/>
                <w:color w:val="auto"/>
                <w:spacing w:val="0"/>
                <w:sz w:val="21"/>
                <w:szCs w:val="21"/>
                <w:shd w:val="clear" w:color="auto" w:fill="FFFFFF"/>
                <w:vertAlign w:val="baseline"/>
              </w:rPr>
              <w:t>2</w:t>
            </w:r>
            <w:r>
              <w:rPr>
                <w:rFonts w:hint="eastAsia" w:ascii="仿宋_GB2312" w:hAnsi="仿宋_GB2312" w:eastAsia="仿宋_GB2312" w:cs="仿宋_GB2312"/>
                <w:b/>
                <w:bCs/>
                <w:i w:val="0"/>
                <w:caps w:val="0"/>
                <w:color w:val="auto"/>
                <w:spacing w:val="0"/>
                <w:sz w:val="21"/>
                <w:szCs w:val="21"/>
                <w:shd w:val="clear" w:color="auto" w:fill="FFFFFF"/>
                <w:vertAlign w:val="baseline"/>
                <w:lang w:eastAsia="zh-CN"/>
              </w:rPr>
              <w:t>、</w:t>
            </w:r>
            <w:r>
              <w:rPr>
                <w:rFonts w:hint="eastAsia" w:ascii="仿宋_GB2312" w:hAnsi="仿宋_GB2312" w:eastAsia="仿宋_GB2312" w:cs="仿宋_GB2312"/>
                <w:b/>
                <w:bCs/>
                <w:i w:val="0"/>
                <w:caps w:val="0"/>
                <w:color w:val="auto"/>
                <w:spacing w:val="0"/>
                <w:sz w:val="21"/>
                <w:szCs w:val="21"/>
                <w:shd w:val="clear" w:color="auto" w:fill="FFFFFF"/>
                <w:vertAlign w:val="baseline"/>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分子量</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28.01</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熔    点-210 ℃</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沸    点-196 ℃</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水溶性</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微溶</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外观</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无色透明液体</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应 用</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快速冷冻、冷冻麻醉</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安全性描述</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S38</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危险性描述</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R20/21UN</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危险货物编号</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1066</w:t>
            </w:r>
            <w:r>
              <w:rPr>
                <w:rFonts w:hint="eastAsia" w:ascii="仿宋_GB2312" w:hAnsi="仿宋_GB2312" w:eastAsia="仿宋_GB2312" w:cs="仿宋_GB2312"/>
                <w:b/>
                <w:bCs/>
                <w:i w:val="0"/>
                <w:caps w:val="0"/>
                <w:color w:val="auto"/>
                <w:spacing w:val="0"/>
                <w:sz w:val="21"/>
                <w:szCs w:val="21"/>
                <w:shd w:val="clear" w:color="auto" w:fill="FFFFFF"/>
                <w:lang w:eastAsia="zh-CN"/>
              </w:rPr>
              <w:t>。</w:t>
            </w:r>
          </w:p>
          <w:p>
            <w:pPr>
              <w:widowControl/>
              <w:spacing w:line="300" w:lineRule="exact"/>
              <w:jc w:val="center"/>
              <w:rPr>
                <w:rFonts w:hint="eastAsia" w:ascii="仿宋_GB2312" w:hAnsi="仿宋_GB2312" w:eastAsia="仿宋_GB2312" w:cs="仿宋_GB2312"/>
                <w:b/>
                <w:bCs/>
                <w:kern w:val="0"/>
                <w:sz w:val="21"/>
                <w:szCs w:val="21"/>
              </w:rPr>
            </w:pP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40升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3300</w:t>
            </w:r>
          </w:p>
        </w:tc>
      </w:tr>
    </w:tbl>
    <w:p>
      <w:pPr>
        <w:numPr>
          <w:ilvl w:val="0"/>
          <w:numId w:val="0"/>
        </w:numPr>
        <w:spacing w:line="520" w:lineRule="exact"/>
        <w:rPr>
          <w:rFonts w:hint="eastAsia" w:ascii="仿宋_GB2312" w:hAnsi="仿宋_GB2312" w:eastAsia="仿宋_GB2312" w:cs="仿宋_GB2312"/>
          <w:b/>
          <w:bCs/>
          <w:sz w:val="28"/>
          <w:szCs w:val="28"/>
          <w:lang w:val="en-US" w:eastAsia="zh-CN"/>
        </w:rPr>
      </w:pPr>
    </w:p>
    <w:p>
      <w:pPr>
        <w:numPr>
          <w:ilvl w:val="0"/>
          <w:numId w:val="0"/>
        </w:numPr>
        <w:spacing w:line="520" w:lineRule="exact"/>
        <w:ind w:firstLine="2249" w:firstLineChars="800"/>
        <w:rPr>
          <w:rFonts w:hint="eastAsia" w:ascii="仿宋_GB2312" w:hAnsi="仿宋_GB2312" w:eastAsia="仿宋_GB2312" w:cs="仿宋_GB2312"/>
          <w:b/>
          <w:bCs/>
          <w:sz w:val="28"/>
          <w:szCs w:val="28"/>
          <w:lang w:val="en-US" w:eastAsia="zh-CN"/>
        </w:rPr>
      </w:pPr>
    </w:p>
    <w:p>
      <w:pPr>
        <w:numPr>
          <w:ilvl w:val="0"/>
          <w:numId w:val="0"/>
        </w:numPr>
        <w:spacing w:line="520" w:lineRule="exact"/>
        <w:ind w:firstLine="2249" w:firstLineChars="8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（二）、供应商要求：</w:t>
      </w:r>
    </w:p>
    <w:p>
      <w:pPr>
        <w:widowControl/>
        <w:spacing w:line="360" w:lineRule="auto"/>
        <w:jc w:val="left"/>
        <w:rPr>
          <w:rFonts w:hint="eastAsia" w:ascii="Arial" w:hAnsi="Arial" w:cs="Arial"/>
          <w:kern w:val="0"/>
          <w:sz w:val="28"/>
          <w:szCs w:val="28"/>
          <w:lang w:eastAsia="zh-CN"/>
        </w:rPr>
      </w:pPr>
      <w:r>
        <w:rPr>
          <w:rFonts w:hint="eastAsia" w:ascii="Arial" w:hAnsi="Arial" w:cs="Arial"/>
          <w:kern w:val="0"/>
          <w:sz w:val="28"/>
          <w:szCs w:val="28"/>
          <w:lang w:eastAsia="zh-CN"/>
        </w:rPr>
        <w:t>1、具备《中华人民共和国政府采购法》第22条规定的条件；</w:t>
      </w:r>
    </w:p>
    <w:p>
      <w:pPr>
        <w:widowControl/>
        <w:spacing w:line="360" w:lineRule="auto"/>
        <w:jc w:val="left"/>
        <w:rPr>
          <w:rFonts w:hint="eastAsia" w:ascii="Arial" w:hAnsi="Arial" w:cs="Arial"/>
          <w:kern w:val="0"/>
          <w:sz w:val="28"/>
          <w:szCs w:val="28"/>
          <w:lang w:eastAsia="zh-CN"/>
        </w:rPr>
      </w:pPr>
      <w:r>
        <w:rPr>
          <w:rFonts w:hint="eastAsia" w:ascii="Arial" w:hAnsi="Arial" w:cs="Arial"/>
          <w:kern w:val="0"/>
          <w:sz w:val="28"/>
          <w:szCs w:val="28"/>
          <w:lang w:eastAsia="zh-CN"/>
        </w:rPr>
        <w:t>2、本项目不接受联合体投标;</w:t>
      </w:r>
    </w:p>
    <w:p>
      <w:pPr>
        <w:widowControl/>
        <w:spacing w:line="360" w:lineRule="auto"/>
        <w:jc w:val="left"/>
        <w:rPr>
          <w:rFonts w:hint="eastAsia" w:ascii="Arial" w:hAnsi="Arial" w:cs="Arial"/>
          <w:kern w:val="0"/>
          <w:sz w:val="28"/>
          <w:szCs w:val="28"/>
          <w:lang w:eastAsia="zh-CN"/>
        </w:rPr>
      </w:pPr>
      <w:r>
        <w:rPr>
          <w:rFonts w:hint="eastAsia" w:ascii="Arial" w:hAnsi="Arial" w:cs="Arial"/>
          <w:kern w:val="0"/>
          <w:sz w:val="28"/>
          <w:szCs w:val="28"/>
          <w:lang w:eastAsia="zh-CN"/>
        </w:rPr>
        <w:t>3、具有有效期内的《生产许可证》(生产范围包含本次招标内容)；</w:t>
      </w:r>
    </w:p>
    <w:p>
      <w:pPr>
        <w:widowControl/>
        <w:spacing w:line="360" w:lineRule="auto"/>
        <w:jc w:val="left"/>
        <w:rPr>
          <w:rFonts w:hint="eastAsia" w:ascii="Arial" w:hAnsi="Arial" w:cs="Arial"/>
          <w:kern w:val="0"/>
          <w:sz w:val="28"/>
          <w:szCs w:val="28"/>
          <w:lang w:eastAsia="zh-CN"/>
        </w:rPr>
      </w:pPr>
      <w:r>
        <w:rPr>
          <w:rFonts w:hint="eastAsia" w:ascii="Arial" w:hAnsi="Arial" w:cs="Arial"/>
          <w:kern w:val="0"/>
          <w:sz w:val="28"/>
          <w:szCs w:val="28"/>
          <w:lang w:eastAsia="zh-CN"/>
        </w:rPr>
        <w:t>4、具有有效期内的《经营许可证》;</w:t>
      </w:r>
    </w:p>
    <w:p>
      <w:pPr>
        <w:widowControl/>
        <w:spacing w:line="360" w:lineRule="auto"/>
        <w:jc w:val="left"/>
        <w:rPr>
          <w:rFonts w:hint="eastAsia" w:ascii="Arial" w:hAnsi="Arial" w:cs="Arial"/>
          <w:kern w:val="0"/>
          <w:sz w:val="28"/>
          <w:szCs w:val="28"/>
          <w:lang w:eastAsia="zh-CN"/>
        </w:rPr>
      </w:pPr>
      <w:r>
        <w:rPr>
          <w:rFonts w:hint="eastAsia" w:ascii="Arial" w:hAnsi="Arial" w:cs="Arial"/>
          <w:kern w:val="0"/>
          <w:sz w:val="28"/>
          <w:szCs w:val="28"/>
          <w:lang w:eastAsia="zh-CN"/>
        </w:rPr>
        <w:t>5、具有有效期内的《危险化学品经营许可证》或有效期内的《安全生产许可证》（许可范围包括危险化学品生产）；</w:t>
      </w:r>
    </w:p>
    <w:p>
      <w:pPr>
        <w:widowControl/>
        <w:spacing w:line="360" w:lineRule="auto"/>
        <w:jc w:val="left"/>
        <w:rPr>
          <w:rFonts w:hint="eastAsia" w:ascii="仿宋_GB2312" w:hAnsi="仿宋_GB2312" w:eastAsia="仿宋_GB2312" w:cs="仿宋_GB2312"/>
          <w:b/>
          <w:bCs/>
          <w:sz w:val="28"/>
          <w:szCs w:val="28"/>
          <w:lang w:eastAsia="zh-CN"/>
        </w:rPr>
      </w:pPr>
      <w:r>
        <w:rPr>
          <w:rFonts w:hint="eastAsia" w:ascii="Arial" w:hAnsi="Arial" w:cs="Arial"/>
          <w:kern w:val="0"/>
          <w:sz w:val="28"/>
          <w:szCs w:val="28"/>
          <w:lang w:eastAsia="zh-CN"/>
        </w:rPr>
        <w:t>6、具有有效期内的《道路运输经营许可证》（经营范围包括化学品或者危险货物运输）或有效期内《道路危险货物运输许可证》；</w:t>
      </w:r>
    </w:p>
    <w:p>
      <w:pPr>
        <w:widowControl/>
        <w:spacing w:line="360" w:lineRule="auto"/>
        <w:jc w:val="left"/>
        <w:rPr>
          <w:rFonts w:hint="eastAsia" w:ascii="宋体" w:hAnsi="宋体" w:cs="宋体"/>
          <w:b/>
          <w:color w:val="FF0000"/>
          <w:sz w:val="18"/>
          <w:szCs w:val="18"/>
        </w:rPr>
      </w:pPr>
      <w:r>
        <w:rPr>
          <w:rFonts w:hint="eastAsia" w:ascii="宋体" w:hAnsi="宋体" w:cs="宋体"/>
          <w:b/>
          <w:color w:val="FF0000"/>
          <w:sz w:val="18"/>
          <w:szCs w:val="18"/>
        </w:rPr>
        <w:t>注：1、如果在技术参数或配置中标明了品牌或产地，则仅供参考，并非指定，投标人可以选用替代的方案，但这种替代整体上要优于或相当于招标文件的相关要求。</w:t>
      </w:r>
    </w:p>
    <w:p>
      <w:pPr>
        <w:tabs>
          <w:tab w:val="left" w:pos="1050"/>
        </w:tabs>
        <w:spacing w:line="360" w:lineRule="auto"/>
        <w:outlineLvl w:val="2"/>
        <w:rPr>
          <w:rFonts w:hint="eastAsia" w:ascii="宋体" w:hAnsi="宋体" w:cs="宋体"/>
          <w:b/>
          <w:color w:val="FF0000"/>
          <w:sz w:val="18"/>
          <w:szCs w:val="18"/>
        </w:rPr>
      </w:pPr>
      <w:r>
        <w:rPr>
          <w:rFonts w:hint="eastAsia" w:ascii="宋体" w:hAnsi="宋体" w:cs="宋体"/>
          <w:b/>
          <w:color w:val="FF0000"/>
          <w:sz w:val="18"/>
          <w:szCs w:val="18"/>
        </w:rPr>
        <w:t>2、为鼓励不同品牌的充分竞争，如某货物的某技术参数或要求属于个别品牌专有，则该技术参数及要求不具有限制性，投标人可对该参数或要求进行适当调整，并应当在投标文件中说明调整的理由，且该调整须经评委会审核认可。</w:t>
      </w:r>
    </w:p>
    <w:p>
      <w:pPr>
        <w:pStyle w:val="2"/>
        <w:rPr>
          <w:rFonts w:hint="default" w:ascii="宋体" w:hAnsi="宋体" w:cs="宋体"/>
          <w:sz w:val="24"/>
          <w:szCs w:val="24"/>
          <w:lang w:val="en-US" w:eastAsia="zh-CN"/>
        </w:rPr>
      </w:pPr>
    </w:p>
    <w:p>
      <w:pPr>
        <w:pStyle w:val="2"/>
        <w:rPr>
          <w:rFonts w:hint="default" w:ascii="宋体" w:hAnsi="宋体" w:cs="宋体"/>
          <w:sz w:val="24"/>
          <w:szCs w:val="24"/>
          <w:lang w:val="en-US" w:eastAsia="zh-CN"/>
        </w:rPr>
      </w:pPr>
    </w:p>
    <w:p>
      <w:pPr>
        <w:pStyle w:val="2"/>
        <w:rPr>
          <w:rFonts w:hint="default" w:ascii="宋体" w:hAnsi="宋体" w:cs="宋体"/>
          <w:sz w:val="24"/>
          <w:szCs w:val="24"/>
          <w:lang w:val="en-US" w:eastAsia="zh-CN"/>
        </w:rPr>
      </w:pPr>
    </w:p>
    <w:p>
      <w:pPr>
        <w:tabs>
          <w:tab w:val="left" w:pos="1050"/>
        </w:tabs>
        <w:spacing w:line="440" w:lineRule="exact"/>
        <w:jc w:val="center"/>
        <w:outlineLvl w:val="2"/>
        <w:rPr>
          <w:rFonts w:hint="eastAsia" w:ascii="宋体" w:hAnsi="宋体" w:cs="宋体"/>
          <w:b/>
          <w:sz w:val="28"/>
          <w:szCs w:val="28"/>
        </w:rPr>
      </w:pPr>
      <w:r>
        <w:rPr>
          <w:rFonts w:hint="eastAsia" w:ascii="宋体" w:hAnsi="宋体" w:cs="宋体"/>
          <w:b/>
          <w:sz w:val="28"/>
          <w:szCs w:val="28"/>
          <w:lang w:eastAsia="zh-CN"/>
        </w:rPr>
        <w:t>（</w:t>
      </w:r>
      <w:r>
        <w:rPr>
          <w:rFonts w:hint="eastAsia" w:ascii="宋体" w:hAnsi="宋体" w:cs="宋体"/>
          <w:b/>
          <w:sz w:val="28"/>
          <w:szCs w:val="28"/>
          <w:lang w:val="en-US" w:eastAsia="zh-CN"/>
        </w:rPr>
        <w:t>三</w:t>
      </w:r>
      <w:bookmarkStart w:id="0" w:name="_GoBack"/>
      <w:bookmarkEnd w:id="0"/>
      <w:r>
        <w:rPr>
          <w:rFonts w:hint="eastAsia" w:ascii="宋体" w:hAnsi="宋体" w:cs="宋体"/>
          <w:b/>
          <w:sz w:val="28"/>
          <w:szCs w:val="28"/>
          <w:lang w:eastAsia="zh-CN"/>
        </w:rPr>
        <w:t>）</w:t>
      </w:r>
      <w:r>
        <w:rPr>
          <w:rFonts w:hint="eastAsia" w:ascii="宋体" w:hAnsi="宋体" w:cs="宋体"/>
          <w:b/>
          <w:sz w:val="28"/>
          <w:szCs w:val="28"/>
        </w:rPr>
        <w:t>、商务要求</w:t>
      </w:r>
    </w:p>
    <w:p>
      <w:pPr>
        <w:tabs>
          <w:tab w:val="left" w:pos="1050"/>
        </w:tabs>
        <w:spacing w:line="440" w:lineRule="exact"/>
        <w:jc w:val="center"/>
        <w:outlineLvl w:val="2"/>
        <w:rPr>
          <w:rFonts w:hint="eastAsia" w:ascii="仿宋_GB2312" w:hAnsi="仿宋_GB2312" w:eastAsia="仿宋_GB2312" w:cs="仿宋_GB2312"/>
          <w:b/>
          <w:bCs/>
          <w:sz w:val="28"/>
          <w:szCs w:val="28"/>
        </w:rPr>
      </w:pPr>
      <w:r>
        <w:rPr>
          <w:rFonts w:hint="eastAsia" w:ascii="宋体" w:hAnsi="宋体" w:cs="宋体"/>
          <w:b/>
          <w:color w:val="FF0000"/>
          <w:sz w:val="28"/>
          <w:szCs w:val="28"/>
          <w:highlight w:val="yellow"/>
        </w:rPr>
        <w:t>（本项目商务要求为不允许负偏离的实质性要求和条件）</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3、所有货物必须符合国家相关强制性要求。</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4、技术支持：</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4.1中标人应向采购人提供全方位及时有效的技术支持和服务。</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4.2中标人负责供货、安装摆放完毕。</w:t>
      </w:r>
    </w:p>
    <w:p>
      <w:pPr>
        <w:widowControl/>
        <w:spacing w:line="360" w:lineRule="auto"/>
        <w:jc w:val="left"/>
        <w:rPr>
          <w:rFonts w:hint="eastAsia" w:ascii="Arial" w:hAnsi="Arial" w:cs="Arial"/>
          <w:kern w:val="0"/>
          <w:sz w:val="28"/>
          <w:szCs w:val="28"/>
          <w:shd w:val="clear" w:color="FFFFFF" w:fill="D9D9D9"/>
        </w:rPr>
      </w:pPr>
      <w:r>
        <w:rPr>
          <w:rFonts w:hint="eastAsia" w:ascii="Arial" w:hAnsi="Arial" w:cs="Arial"/>
          <w:kern w:val="0"/>
          <w:sz w:val="28"/>
          <w:szCs w:val="28"/>
          <w:shd w:val="clear" w:color="FFFFFF" w:fill="D9D9D9"/>
        </w:rPr>
        <w:t>5、质保及售后服务：</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5.1中标人需对所有货物</w:t>
      </w:r>
      <w:r>
        <w:rPr>
          <w:rFonts w:hint="eastAsia" w:ascii="Arial" w:hAnsi="Arial" w:cs="Arial"/>
          <w:kern w:val="0"/>
          <w:sz w:val="28"/>
          <w:szCs w:val="28"/>
          <w14:textFill>
            <w14:gradFill>
              <w14:gsLst>
                <w14:gs w14:pos="0">
                  <w14:srgbClr w14:val="7B32B2"/>
                </w14:gs>
                <w14:gs w14:pos="100000">
                  <w14:srgbClr w14:val="401A5D"/>
                </w14:gs>
              </w14:gsLst>
              <w14:lin w14:scaled="0"/>
            </w14:gradFill>
          </w14:textFill>
        </w:rPr>
        <w:t>提供至少</w:t>
      </w:r>
      <w:r>
        <w:rPr>
          <w:rFonts w:hint="eastAsia" w:ascii="Arial" w:hAnsi="Arial" w:cs="Arial"/>
          <w:kern w:val="0"/>
          <w:sz w:val="28"/>
          <w:szCs w:val="28"/>
          <w:lang w:eastAsia="zh-CN"/>
          <w14:textFill>
            <w14:gradFill>
              <w14:gsLst>
                <w14:gs w14:pos="0">
                  <w14:srgbClr w14:val="7B32B2"/>
                </w14:gs>
                <w14:gs w14:pos="100000">
                  <w14:srgbClr w14:val="401A5D"/>
                </w14:gs>
              </w14:gsLst>
              <w14:lin w14:scaled="0"/>
            </w14:gradFill>
          </w14:textFill>
        </w:rPr>
        <w:t>半</w:t>
      </w:r>
      <w:r>
        <w:rPr>
          <w:rFonts w:hint="eastAsia" w:ascii="Arial" w:hAnsi="Arial" w:cs="Arial"/>
          <w:kern w:val="0"/>
          <w:sz w:val="28"/>
          <w:szCs w:val="28"/>
          <w14:textFill>
            <w14:gradFill>
              <w14:gsLst>
                <w14:gs w14:pos="0">
                  <w14:srgbClr w14:val="7B32B2"/>
                </w14:gs>
                <w14:gs w14:pos="100000">
                  <w14:srgbClr w14:val="401A5D"/>
                </w14:gs>
              </w14:gsLst>
              <w14:lin w14:scaled="0"/>
            </w14:gradFill>
          </w14:textFill>
        </w:rPr>
        <w:t>年的免费质保服务</w:t>
      </w:r>
      <w:r>
        <w:rPr>
          <w:rFonts w:hint="eastAsia" w:ascii="Arial" w:hAnsi="Arial" w:cs="Arial"/>
          <w:kern w:val="0"/>
          <w:sz w:val="28"/>
          <w:szCs w:val="28"/>
        </w:rPr>
        <w:t>，自验收合格之日起计算。所有质保费用均已包含在总报价中。</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5.2售后服务响应时间：中标人需设有专门的售后服务队伍，建立完备的故障响应机制。如货物出现质量问题，电话响应无法解决，中标人必须在接到电话</w:t>
      </w:r>
      <w:r>
        <w:rPr>
          <w:rFonts w:hint="eastAsia" w:ascii="Arial" w:hAnsi="Arial" w:cs="Arial"/>
          <w:kern w:val="0"/>
          <w:sz w:val="28"/>
          <w:szCs w:val="28"/>
          <w:lang w:val="en-US" w:eastAsia="zh-CN"/>
        </w:rPr>
        <w:t>2</w:t>
      </w:r>
      <w:r>
        <w:rPr>
          <w:rFonts w:hint="eastAsia" w:ascii="Arial" w:hAnsi="Arial" w:cs="Arial"/>
          <w:kern w:val="0"/>
          <w:sz w:val="28"/>
          <w:szCs w:val="28"/>
        </w:rPr>
        <w:t>小时内到达现场,</w:t>
      </w:r>
      <w:r>
        <w:rPr>
          <w:rFonts w:hint="eastAsia" w:ascii="Arial" w:hAnsi="Arial" w:cs="Arial"/>
          <w:kern w:val="0"/>
          <w:sz w:val="28"/>
          <w:szCs w:val="28"/>
          <w:lang w:val="en-US" w:eastAsia="zh-CN"/>
        </w:rPr>
        <w:t>24</w:t>
      </w:r>
      <w:r>
        <w:rPr>
          <w:rFonts w:hint="eastAsia" w:ascii="Arial" w:hAnsi="Arial" w:cs="Arial"/>
          <w:kern w:val="0"/>
          <w:sz w:val="28"/>
          <w:szCs w:val="28"/>
        </w:rPr>
        <w:t xml:space="preserve">小时内解决问题。   </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5.3  服务期内由招标人对其服务质量进行考核,不合格可由招标人解除合同重新招标。</w:t>
      </w:r>
    </w:p>
    <w:p>
      <w:pPr>
        <w:widowControl/>
        <w:spacing w:line="360" w:lineRule="auto"/>
        <w:jc w:val="left"/>
        <w:rPr>
          <w:rFonts w:hint="eastAsia" w:ascii="Arial" w:hAnsi="Arial" w:cs="Arial"/>
          <w:kern w:val="0"/>
          <w:sz w:val="28"/>
          <w:szCs w:val="28"/>
        </w:rPr>
      </w:pPr>
      <w:r>
        <w:rPr>
          <w:rFonts w:hint="eastAsia" w:ascii="Arial" w:hAnsi="Arial" w:cs="Arial"/>
          <w:kern w:val="0"/>
          <w:sz w:val="28"/>
          <w:szCs w:val="28"/>
        </w:rPr>
        <w:t>6、付款方式：</w:t>
      </w:r>
      <w:r>
        <w:rPr>
          <w:rFonts w:hint="eastAsia" w:ascii="Arial" w:hAnsi="Arial" w:cs="Arial"/>
          <w:kern w:val="0"/>
          <w:sz w:val="28"/>
          <w:szCs w:val="28"/>
          <w:lang w:eastAsia="zh-CN"/>
        </w:rPr>
        <w:t>经验收合格按运送批次</w:t>
      </w:r>
      <w:r>
        <w:rPr>
          <w:rFonts w:hint="eastAsia" w:ascii="Arial" w:hAnsi="Arial" w:cs="Arial"/>
          <w:kern w:val="0"/>
          <w:sz w:val="28"/>
          <w:szCs w:val="28"/>
        </w:rPr>
        <w:t>付款</w:t>
      </w:r>
      <w:r>
        <w:rPr>
          <w:rFonts w:hint="eastAsia" w:ascii="Arial" w:hAnsi="Arial" w:cs="Arial"/>
          <w:kern w:val="0"/>
          <w:sz w:val="28"/>
          <w:szCs w:val="28"/>
          <w:lang w:eastAsia="zh-CN"/>
        </w:rPr>
        <w:t>，付款期</w:t>
      </w:r>
      <w:r>
        <w:rPr>
          <w:rFonts w:hint="eastAsia" w:ascii="Arial" w:hAnsi="Arial" w:cs="Arial"/>
          <w:kern w:val="0"/>
          <w:sz w:val="28"/>
          <w:szCs w:val="28"/>
          <w:lang w:val="en-US" w:eastAsia="zh-CN"/>
        </w:rPr>
        <w:t>60天</w:t>
      </w:r>
      <w:r>
        <w:rPr>
          <w:rFonts w:hint="eastAsia" w:ascii="Arial" w:hAnsi="Arial" w:cs="Arial"/>
          <w:kern w:val="0"/>
          <w:sz w:val="28"/>
          <w:szCs w:val="28"/>
        </w:rPr>
        <w:t>。</w:t>
      </w:r>
    </w:p>
    <w:p>
      <w:pPr>
        <w:pStyle w:val="2"/>
        <w:rPr>
          <w:rFonts w:hint="default" w:ascii="宋体" w:hAnsi="宋体" w:cs="宋体"/>
          <w:sz w:val="28"/>
          <w:szCs w:val="28"/>
          <w:lang w:val="en-US" w:eastAsia="zh-CN"/>
        </w:rPr>
      </w:pPr>
    </w:p>
    <w:p>
      <w:pPr>
        <w:pStyle w:val="2"/>
        <w:spacing w:line="360" w:lineRule="auto"/>
        <w:rPr>
          <w:rFonts w:hint="default" w:ascii="宋体" w:hAnsi="宋体" w:cs="宋体"/>
          <w:sz w:val="28"/>
          <w:szCs w:val="28"/>
          <w:lang w:val="en-US" w:eastAsia="zh-CN"/>
        </w:rPr>
      </w:pPr>
    </w:p>
    <w:p>
      <w:pPr>
        <w:pStyle w:val="2"/>
        <w:rPr>
          <w:rFonts w:hint="default" w:ascii="宋体" w:hAnsi="宋体" w:cs="宋体"/>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0F6FB5"/>
    <w:rsid w:val="20483DCA"/>
    <w:rsid w:val="4DBE5FE0"/>
    <w:rsid w:val="4F0F6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jc w:val="center"/>
      <w:outlineLvl w:val="0"/>
    </w:pPr>
    <w:rPr>
      <w:b/>
      <w:kern w:val="44"/>
      <w:sz w:val="44"/>
      <w:szCs w:val="20"/>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2021-11-23T06:47:00Z</dcterms:created>
  <dc:creator>敏敏</dc:creator>
  <cp:lastModifiedBy>敏敏</cp:lastModifiedBy>
  <dcterms:modified xsi:type="dcterms:W3CDTF">2021-11-23T07:31:50Z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D335DC70ECE346699DFBB8D6FE637CC6</vt:lpwstr>
  </property>
</Properties>
</file>