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sz w:val="32"/>
          <w:szCs w:val="32"/>
          <w:lang w:eastAsia="zh-CN"/>
        </w:rPr>
        <w:t>二氧化碳、液氮、混合气体采购与配送服务招标</w:t>
      </w:r>
      <w:r>
        <w:rPr>
          <w:rFonts w:hint="eastAsia" w:ascii="仿宋_GB2312" w:hAnsi="仿宋_GB2312" w:eastAsia="仿宋_GB2312" w:cs="仿宋_GB2312"/>
          <w:b/>
          <w:bCs/>
          <w:sz w:val="32"/>
          <w:szCs w:val="32"/>
        </w:rPr>
        <w:t>参数</w:t>
      </w:r>
      <w:r>
        <w:rPr>
          <w:rFonts w:hint="eastAsia" w:ascii="仿宋_GB2312" w:hAnsi="仿宋_GB2312" w:eastAsia="仿宋_GB2312" w:cs="仿宋_GB2312"/>
          <w:b/>
          <w:bCs/>
          <w:sz w:val="32"/>
          <w:szCs w:val="32"/>
          <w:lang w:eastAsia="zh-CN"/>
        </w:rPr>
        <w:t>要求</w:t>
      </w:r>
      <w:r>
        <w:rPr>
          <w:rFonts w:hint="eastAsia" w:ascii="仿宋_GB2312" w:hAnsi="仿宋_GB2312" w:eastAsia="仿宋_GB2312" w:cs="仿宋_GB2312"/>
          <w:b/>
          <w:bCs/>
          <w:sz w:val="32"/>
          <w:szCs w:val="32"/>
          <w:lang w:val="en-US" w:eastAsia="zh-CN"/>
        </w:rPr>
        <w:t xml:space="preserve"> </w:t>
      </w:r>
    </w:p>
    <w:p>
      <w:pPr>
        <w:rPr>
          <w:rFonts w:hint="eastAsia" w:ascii="仿宋_GB2312" w:hAnsi="仿宋_GB2312" w:eastAsia="仿宋_GB2312" w:cs="仿宋_GB2312"/>
          <w:b/>
          <w:bCs/>
          <w:sz w:val="32"/>
          <w:szCs w:val="32"/>
          <w:lang w:val="en-US" w:eastAsia="zh-CN"/>
        </w:rPr>
      </w:pPr>
    </w:p>
    <w:p>
      <w:pPr>
        <w:ind w:firstLine="643"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b/>
          <w:bCs/>
          <w:sz w:val="28"/>
          <w:szCs w:val="28"/>
          <w:lang w:val="en-US" w:eastAsia="zh-CN"/>
        </w:rPr>
        <w:t xml:space="preserve"> （一）评标办法及金额年限</w:t>
      </w:r>
    </w:p>
    <w:p>
      <w:pPr>
        <w:pStyle w:val="11"/>
        <w:numPr>
          <w:ilvl w:val="0"/>
          <w:numId w:val="0"/>
        </w:numPr>
        <w:ind w:leftChars="0"/>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1、</w:t>
      </w:r>
      <w:r>
        <w:rPr>
          <w:rFonts w:hint="eastAsia" w:ascii="仿宋_GB2312" w:hAnsi="仿宋_GB2312" w:eastAsia="仿宋_GB2312" w:cs="仿宋_GB2312"/>
          <w:b/>
          <w:bCs/>
          <w:sz w:val="28"/>
          <w:szCs w:val="28"/>
          <w:lang w:eastAsia="zh-CN"/>
        </w:rPr>
        <w:t>评标办法：综合评分</w:t>
      </w:r>
      <w:r>
        <w:rPr>
          <w:rFonts w:hint="eastAsia" w:ascii="仿宋_GB2312" w:hAnsi="仿宋_GB2312" w:eastAsia="仿宋_GB2312" w:cs="仿宋_GB2312"/>
          <w:b/>
          <w:bCs/>
          <w:kern w:val="0"/>
          <w:sz w:val="28"/>
          <w:szCs w:val="28"/>
          <w:lang w:val="en-US" w:eastAsia="zh-CN"/>
        </w:rPr>
        <w:t>（</w:t>
      </w:r>
      <w:r>
        <w:rPr>
          <w:rFonts w:hint="eastAsia" w:ascii="仿宋_GB2312" w:hAnsi="仿宋_GB2312" w:eastAsia="仿宋_GB2312" w:cs="仿宋_GB2312"/>
          <w:b/>
          <w:bCs/>
          <w:sz w:val="28"/>
          <w:szCs w:val="28"/>
        </w:rPr>
        <w:t>采购数量按实际需求采购，我们招标的是每一品种的</w:t>
      </w:r>
      <w:r>
        <w:rPr>
          <w:rFonts w:hint="eastAsia" w:ascii="仿宋_GB2312" w:hAnsi="仿宋_GB2312" w:eastAsia="仿宋_GB2312" w:cs="仿宋_GB2312"/>
          <w:b/>
          <w:bCs/>
          <w:sz w:val="28"/>
          <w:szCs w:val="28"/>
          <w:lang w:eastAsia="zh-CN"/>
        </w:rPr>
        <w:t>综合费</w:t>
      </w:r>
      <w:r>
        <w:rPr>
          <w:rFonts w:hint="eastAsia" w:ascii="仿宋_GB2312" w:hAnsi="仿宋_GB2312" w:eastAsia="仿宋_GB2312" w:cs="仿宋_GB2312"/>
          <w:b/>
          <w:bCs/>
          <w:sz w:val="28"/>
          <w:szCs w:val="28"/>
        </w:rPr>
        <w:t>率）。</w:t>
      </w:r>
    </w:p>
    <w:p>
      <w:pPr>
        <w:spacing w:line="480" w:lineRule="exac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2、</w:t>
      </w:r>
      <w:r>
        <w:rPr>
          <w:rFonts w:hint="eastAsia" w:ascii="仿宋_GB2312" w:hAnsi="仿宋_GB2312" w:eastAsia="仿宋_GB2312" w:cs="仿宋_GB2312"/>
          <w:b/>
          <w:bCs/>
          <w:sz w:val="28"/>
          <w:szCs w:val="28"/>
          <w:lang w:eastAsia="zh-CN"/>
        </w:rPr>
        <w:t>项目控制金额：</w:t>
      </w:r>
      <w:r>
        <w:rPr>
          <w:rFonts w:hint="eastAsia" w:ascii="仿宋_GB2312" w:hAnsi="仿宋_GB2312" w:eastAsia="仿宋_GB2312" w:cs="仿宋_GB2312"/>
          <w:b/>
          <w:bCs/>
          <w:sz w:val="28"/>
          <w:szCs w:val="28"/>
          <w:lang w:val="en-US" w:eastAsia="zh-CN"/>
        </w:rPr>
        <w:t>8万元/年（</w:t>
      </w:r>
      <w:r>
        <w:rPr>
          <w:rFonts w:hint="eastAsia" w:ascii="仿宋_GB2312" w:hAnsi="仿宋_GB2312" w:eastAsia="仿宋_GB2312" w:cs="仿宋_GB2312"/>
          <w:b/>
          <w:bCs/>
          <w:sz w:val="28"/>
          <w:szCs w:val="28"/>
          <w:lang w:eastAsia="zh-CN"/>
        </w:rPr>
        <w:t>综合费</w:t>
      </w:r>
      <w:r>
        <w:rPr>
          <w:rFonts w:hint="eastAsia" w:ascii="仿宋_GB2312" w:hAnsi="仿宋_GB2312" w:eastAsia="仿宋_GB2312" w:cs="仿宋_GB2312"/>
          <w:b/>
          <w:bCs/>
          <w:sz w:val="28"/>
          <w:szCs w:val="28"/>
          <w:lang w:val="en-US" w:eastAsia="zh-CN"/>
        </w:rPr>
        <w:t>率中标后1年使用金额不得超过8万元）。</w:t>
      </w:r>
    </w:p>
    <w:p>
      <w:pPr>
        <w:spacing w:line="480" w:lineRule="exact"/>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3、项目控制年限：</w:t>
      </w:r>
      <w:r>
        <w:rPr>
          <w:rFonts w:hint="eastAsia" w:ascii="仿宋_GB2312" w:hAnsi="仿宋_GB2312" w:eastAsia="仿宋_GB2312" w:cs="仿宋_GB2312"/>
          <w:b/>
          <w:bCs/>
          <w:sz w:val="28"/>
          <w:szCs w:val="28"/>
          <w:lang w:eastAsia="zh-CN"/>
        </w:rPr>
        <w:t>两年（服务期两年，合同一年一签）。</w:t>
      </w:r>
      <w:r>
        <w:rPr>
          <w:rFonts w:hint="eastAsia" w:ascii="仿宋_GB2312" w:hAnsi="仿宋_GB2312" w:eastAsia="仿宋_GB2312" w:cs="仿宋_GB2312"/>
          <w:b/>
          <w:bCs/>
          <w:sz w:val="28"/>
          <w:szCs w:val="28"/>
          <w:lang w:val="en-US" w:eastAsia="zh-CN"/>
        </w:rPr>
        <w:t xml:space="preserve"> </w:t>
      </w:r>
    </w:p>
    <w:tbl>
      <w:tblPr>
        <w:tblStyle w:val="5"/>
        <w:tblW w:w="494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380"/>
        <w:gridCol w:w="4455"/>
        <w:gridCol w:w="991"/>
        <w:gridCol w:w="9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395" w:type="pct"/>
            <w:shd w:val="clear" w:color="auto" w:fill="auto"/>
            <w:noWrap/>
            <w:vAlign w:val="center"/>
          </w:tcPr>
          <w:p>
            <w:pPr>
              <w:widowControl/>
              <w:spacing w:line="300" w:lineRule="exact"/>
              <w:jc w:val="center"/>
              <w:rPr>
                <w:rFonts w:hint="eastAsia" w:ascii="仿宋_GB2312" w:hAnsi="仿宋_GB2312" w:eastAsia="仿宋_GB2312" w:cs="仿宋_GB2312"/>
                <w:b/>
                <w:bCs/>
                <w:color w:val="000000"/>
                <w:kern w:val="0"/>
                <w:sz w:val="21"/>
                <w:szCs w:val="21"/>
              </w:rPr>
            </w:pPr>
            <w:r>
              <w:rPr>
                <w:rFonts w:hint="eastAsia" w:ascii="仿宋_GB2312" w:hAnsi="仿宋_GB2312" w:eastAsia="仿宋_GB2312" w:cs="仿宋_GB2312"/>
                <w:b/>
                <w:bCs/>
                <w:color w:val="000000"/>
                <w:kern w:val="0"/>
                <w:sz w:val="21"/>
                <w:szCs w:val="21"/>
              </w:rPr>
              <w:t>序号</w:t>
            </w:r>
          </w:p>
        </w:tc>
        <w:tc>
          <w:tcPr>
            <w:tcW w:w="818" w:type="pct"/>
            <w:shd w:val="clear" w:color="auto" w:fill="FFFFFF"/>
            <w:noWrap w:val="0"/>
            <w:vAlign w:val="center"/>
          </w:tcPr>
          <w:p>
            <w:pPr>
              <w:widowControl/>
              <w:spacing w:line="300" w:lineRule="exact"/>
              <w:ind w:firstLine="211" w:firstLineChars="100"/>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货物名称</w:t>
            </w:r>
          </w:p>
        </w:tc>
        <w:tc>
          <w:tcPr>
            <w:tcW w:w="2643" w:type="pct"/>
            <w:shd w:val="clear" w:color="auto" w:fill="FFFFFF"/>
            <w:noWrap w:val="0"/>
            <w:vAlign w:val="center"/>
          </w:tcPr>
          <w:p>
            <w:pPr>
              <w:widowControl/>
              <w:spacing w:line="300" w:lineRule="exact"/>
              <w:jc w:val="center"/>
              <w:rPr>
                <w:rFonts w:hint="default"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eastAsia="zh-CN"/>
              </w:rPr>
              <w:t>技术参数</w:t>
            </w:r>
          </w:p>
        </w:tc>
        <w:tc>
          <w:tcPr>
            <w:tcW w:w="587"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规格</w:t>
            </w:r>
          </w:p>
        </w:tc>
        <w:tc>
          <w:tcPr>
            <w:tcW w:w="554" w:type="pct"/>
            <w:shd w:val="clear" w:color="auto" w:fill="FFFFFF"/>
            <w:noWrap/>
            <w:vAlign w:val="center"/>
          </w:tcPr>
          <w:p>
            <w:pPr>
              <w:widowControl/>
              <w:spacing w:line="300" w:lineRule="exact"/>
              <w:jc w:val="center"/>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395" w:type="pct"/>
            <w:shd w:val="clear" w:color="auto" w:fill="auto"/>
            <w:noWrap/>
            <w:vAlign w:val="center"/>
          </w:tcPr>
          <w:p>
            <w:pPr>
              <w:widowControl/>
              <w:spacing w:line="300" w:lineRule="exact"/>
              <w:jc w:val="center"/>
              <w:rPr>
                <w:rFonts w:hint="eastAsia" w:ascii="仿宋_GB2312" w:hAnsi="仿宋_GB2312" w:eastAsia="仿宋_GB2312" w:cs="仿宋_GB2312"/>
                <w:b/>
                <w:bCs/>
                <w:kern w:val="0"/>
                <w:sz w:val="21"/>
                <w:szCs w:val="21"/>
                <w:lang w:val="en-US" w:eastAsia="zh-CN" w:bidi="ar-SA"/>
              </w:rPr>
            </w:pPr>
            <w:r>
              <w:rPr>
                <w:rFonts w:hint="eastAsia" w:ascii="仿宋_GB2312" w:hAnsi="仿宋_GB2312" w:eastAsia="仿宋_GB2312" w:cs="仿宋_GB2312"/>
                <w:b/>
                <w:bCs/>
                <w:kern w:val="0"/>
                <w:sz w:val="21"/>
                <w:szCs w:val="21"/>
              </w:rPr>
              <w:t>1</w:t>
            </w:r>
          </w:p>
        </w:tc>
        <w:tc>
          <w:tcPr>
            <w:tcW w:w="818" w:type="pct"/>
            <w:shd w:val="clear" w:color="auto" w:fill="FFFFFF"/>
            <w:noWrap w:val="0"/>
            <w:vAlign w:val="center"/>
          </w:tcPr>
          <w:p>
            <w:pPr>
              <w:widowControl/>
              <w:spacing w:line="300" w:lineRule="exact"/>
              <w:ind w:firstLine="211" w:firstLineChars="100"/>
              <w:jc w:val="left"/>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二氧化碳</w:t>
            </w:r>
          </w:p>
          <w:p>
            <w:pPr>
              <w:widowControl/>
              <w:spacing w:line="300" w:lineRule="exact"/>
              <w:jc w:val="left"/>
              <w:rPr>
                <w:rFonts w:hint="eastAsia" w:ascii="仿宋_GB2312" w:hAnsi="仿宋_GB2312" w:eastAsia="仿宋_GB2312" w:cs="仿宋_GB2312"/>
                <w:b/>
                <w:bCs/>
                <w:kern w:val="0"/>
                <w:sz w:val="21"/>
                <w:szCs w:val="21"/>
                <w:lang w:val="en-US" w:eastAsia="zh-CN" w:bidi="ar-SA"/>
              </w:rPr>
            </w:pPr>
            <w:r>
              <w:rPr>
                <w:rFonts w:hint="eastAsia" w:ascii="仿宋_GB2312" w:hAnsi="仿宋_GB2312" w:eastAsia="仿宋_GB2312" w:cs="仿宋_GB2312"/>
                <w:b/>
                <w:bCs/>
                <w:kern w:val="0"/>
                <w:sz w:val="21"/>
                <w:szCs w:val="21"/>
                <w:lang w:eastAsia="zh-CN"/>
              </w:rPr>
              <w:t>（食品级）</w:t>
            </w:r>
          </w:p>
        </w:tc>
        <w:tc>
          <w:tcPr>
            <w:tcW w:w="2643"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lang w:val="en-US" w:eastAsia="zh-CN" w:bidi="ar-SA"/>
              </w:rPr>
            </w:pPr>
            <w:r>
              <w:rPr>
                <w:rFonts w:hint="eastAsia" w:ascii="仿宋_GB2312" w:hAnsi="仿宋_GB2312" w:eastAsia="仿宋_GB2312" w:cs="仿宋_GB2312"/>
                <w:b/>
                <w:bCs/>
                <w:sz w:val="21"/>
                <w:szCs w:val="21"/>
              </w:rPr>
              <w:t>干冰（固态）等 [7] 化学式CO₂ 分子量44.0095 [1] CAS登录号124－38－9 [2] EINECS登录号204-696-9 [2] 熔    点-56.6（527kPa） [2] 沸    点-78.5（升华） [2] 水溶性小于0.05%（22.9℃） [2] 外    观常温常压下是一种无色无味或无色无嗅而略有酸味的气体闪    点无 [2] 应    用冷藏易腐败的食品、做制冷剂、制造碳化软饮料等 [2] 气态密度1.997g/L（0℃，101.325kPa） [8] 液态密度0.9295kg/L（0℃，101.3485kPa） [8] 固态密度1.56kg/L（-79℃） [2] 三相点-56.6℃（517.97kPa） [8] 制备方法石灰石和稀盐酸反应制取等 [2] 分子直径0.35～0.51nm [9] 二氧化碳（食品添加剂）与普通二氧化碳就是纯度的区别，大于等于99.9%。</w:t>
            </w:r>
          </w:p>
        </w:tc>
        <w:tc>
          <w:tcPr>
            <w:tcW w:w="587"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40升</w:t>
            </w:r>
            <w:r>
              <w:rPr>
                <w:rFonts w:hint="eastAsia" w:ascii="仿宋_GB2312" w:hAnsi="仿宋_GB2312" w:eastAsia="仿宋_GB2312" w:cs="仿宋_GB2312"/>
                <w:b/>
                <w:bCs/>
                <w:kern w:val="0"/>
                <w:sz w:val="21"/>
                <w:szCs w:val="21"/>
              </w:rPr>
              <w:t>/瓶</w:t>
            </w:r>
          </w:p>
        </w:tc>
        <w:tc>
          <w:tcPr>
            <w:tcW w:w="554" w:type="pct"/>
            <w:shd w:val="clear" w:color="auto" w:fill="FFFFFF"/>
            <w:noWrap/>
            <w:vAlign w:val="center"/>
          </w:tcPr>
          <w:p>
            <w:pPr>
              <w:widowControl/>
              <w:spacing w:line="300" w:lineRule="exact"/>
              <w:jc w:val="center"/>
              <w:rPr>
                <w:rFonts w:hint="eastAsia" w:ascii="仿宋_GB2312" w:hAnsi="仿宋_GB2312" w:eastAsia="仿宋_GB2312" w:cs="仿宋_GB2312"/>
                <w:b/>
                <w:bCs/>
                <w:kern w:val="0"/>
                <w:sz w:val="21"/>
                <w:szCs w:val="21"/>
                <w:lang w:val="en-US" w:eastAsia="zh-CN" w:bidi="ar-SA"/>
              </w:rPr>
            </w:pPr>
            <w:r>
              <w:rPr>
                <w:rFonts w:hint="eastAsia" w:ascii="仿宋_GB2312" w:hAnsi="仿宋_GB2312" w:eastAsia="仿宋_GB2312" w:cs="仿宋_GB2312"/>
                <w:b/>
                <w:bCs/>
                <w:kern w:val="0"/>
                <w:sz w:val="21"/>
                <w:szCs w:val="21"/>
                <w:lang w:val="en-US" w:eastAsia="zh-CN"/>
              </w:rPr>
              <w:t xml:space="preserve">360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395" w:type="pct"/>
            <w:shd w:val="clear" w:color="auto" w:fill="auto"/>
            <w:noWrap/>
            <w:vAlign w:val="center"/>
          </w:tcPr>
          <w:p>
            <w:pPr>
              <w:widowControl/>
              <w:spacing w:line="300" w:lineRule="exact"/>
              <w:jc w:val="center"/>
              <w:rPr>
                <w:rFonts w:hint="eastAsia" w:ascii="仿宋_GB2312" w:hAnsi="仿宋_GB2312" w:eastAsia="仿宋_GB2312" w:cs="仿宋_GB2312"/>
                <w:b/>
                <w:bCs/>
                <w:color w:val="000000"/>
                <w:kern w:val="0"/>
                <w:sz w:val="21"/>
                <w:szCs w:val="21"/>
                <w:lang w:val="en-US" w:eastAsia="zh-CN"/>
              </w:rPr>
            </w:pPr>
            <w:r>
              <w:rPr>
                <w:rFonts w:hint="eastAsia" w:ascii="仿宋_GB2312" w:hAnsi="仿宋_GB2312" w:eastAsia="仿宋_GB2312" w:cs="仿宋_GB2312"/>
                <w:b/>
                <w:bCs/>
                <w:color w:val="000000"/>
                <w:kern w:val="0"/>
                <w:sz w:val="21"/>
                <w:szCs w:val="21"/>
                <w:lang w:val="en-US" w:eastAsia="zh-CN"/>
              </w:rPr>
              <w:t>2</w:t>
            </w:r>
          </w:p>
        </w:tc>
        <w:tc>
          <w:tcPr>
            <w:tcW w:w="818" w:type="pct"/>
            <w:shd w:val="clear" w:color="auto" w:fill="FFFFFF"/>
            <w:noWrap w:val="0"/>
            <w:vAlign w:val="center"/>
          </w:tcPr>
          <w:p>
            <w:pPr>
              <w:widowControl/>
              <w:spacing w:line="300" w:lineRule="exact"/>
              <w:ind w:firstLine="422" w:firstLineChars="200"/>
              <w:rPr>
                <w:rFonts w:hint="eastAsia" w:ascii="仿宋_GB2312" w:hAnsi="仿宋_GB2312" w:eastAsia="仿宋_GB2312" w:cs="仿宋_GB2312"/>
                <w:b/>
                <w:bCs/>
                <w:sz w:val="21"/>
                <w:szCs w:val="21"/>
                <w:lang w:eastAsia="zh-CN"/>
              </w:rPr>
            </w:pPr>
            <w:r>
              <w:rPr>
                <w:rFonts w:hint="eastAsia" w:ascii="仿宋_GB2312" w:hAnsi="仿宋_GB2312" w:eastAsia="仿宋_GB2312" w:cs="仿宋_GB2312"/>
                <w:b/>
                <w:bCs/>
                <w:sz w:val="21"/>
                <w:szCs w:val="21"/>
                <w:lang w:eastAsia="zh-CN"/>
              </w:rPr>
              <w:t>液氮</w:t>
            </w:r>
          </w:p>
          <w:p>
            <w:pPr>
              <w:widowControl/>
              <w:spacing w:line="300" w:lineRule="exact"/>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lang w:eastAsia="zh-CN"/>
              </w:rPr>
              <w:t>（食品级）</w:t>
            </w:r>
          </w:p>
        </w:tc>
        <w:tc>
          <w:tcPr>
            <w:tcW w:w="2643" w:type="pct"/>
            <w:shd w:val="clear" w:color="auto" w:fill="FFFFFF"/>
            <w:noWrap w:val="0"/>
            <w:vAlign w:val="center"/>
          </w:tcPr>
          <w:p>
            <w:pPr>
              <w:numPr>
                <w:ilvl w:val="0"/>
                <w:numId w:val="0"/>
              </w:numPr>
              <w:rPr>
                <w:rFonts w:hint="eastAsia" w:ascii="仿宋_GB2312" w:hAnsi="仿宋_GB2312" w:eastAsia="仿宋_GB2312" w:cs="仿宋_GB2312"/>
                <w:b/>
                <w:bCs/>
                <w:sz w:val="21"/>
                <w:szCs w:val="21"/>
                <w:vertAlign w:val="baseline"/>
                <w:lang w:val="en-US" w:eastAsia="zh-CN"/>
              </w:rPr>
            </w:pPr>
            <w:r>
              <w:rPr>
                <w:rFonts w:hint="eastAsia" w:ascii="仿宋_GB2312" w:hAnsi="仿宋_GB2312" w:eastAsia="仿宋_GB2312" w:cs="仿宋_GB2312"/>
                <w:b/>
                <w:bCs/>
                <w:sz w:val="21"/>
                <w:szCs w:val="21"/>
                <w:vertAlign w:val="baseline"/>
                <w:lang w:val="en-US" w:eastAsia="zh-CN"/>
              </w:rPr>
              <w:t>CO  0.28*10-2、HE  9.93*10-2、AIR  余量。</w:t>
            </w:r>
          </w:p>
          <w:p>
            <w:pPr>
              <w:widowControl/>
              <w:spacing w:line="300" w:lineRule="exact"/>
              <w:jc w:val="center"/>
              <w:rPr>
                <w:rFonts w:hint="eastAsia" w:ascii="仿宋_GB2312" w:hAnsi="仿宋_GB2312" w:eastAsia="仿宋_GB2312" w:cs="仿宋_GB2312"/>
                <w:b/>
                <w:bCs/>
                <w:kern w:val="0"/>
                <w:sz w:val="21"/>
                <w:szCs w:val="21"/>
              </w:rPr>
            </w:pPr>
          </w:p>
        </w:tc>
        <w:tc>
          <w:tcPr>
            <w:tcW w:w="587"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10升</w:t>
            </w:r>
            <w:r>
              <w:rPr>
                <w:rFonts w:hint="eastAsia" w:ascii="仿宋_GB2312" w:hAnsi="仿宋_GB2312" w:eastAsia="仿宋_GB2312" w:cs="仿宋_GB2312"/>
                <w:b/>
                <w:bCs/>
                <w:kern w:val="0"/>
                <w:sz w:val="21"/>
                <w:szCs w:val="21"/>
              </w:rPr>
              <w:t>/瓶</w:t>
            </w:r>
          </w:p>
        </w:tc>
        <w:tc>
          <w:tcPr>
            <w:tcW w:w="554" w:type="pct"/>
            <w:shd w:val="clear" w:color="auto" w:fill="FFFFFF"/>
            <w:noWrap/>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395" w:type="pct"/>
            <w:shd w:val="clear" w:color="auto" w:fill="auto"/>
            <w:noWrap/>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3</w:t>
            </w:r>
          </w:p>
        </w:tc>
        <w:tc>
          <w:tcPr>
            <w:tcW w:w="818" w:type="pct"/>
            <w:shd w:val="clear" w:color="auto" w:fill="FFFFFF"/>
            <w:noWrap w:val="0"/>
            <w:vAlign w:val="center"/>
          </w:tcPr>
          <w:p>
            <w:pPr>
              <w:widowControl/>
              <w:spacing w:line="300" w:lineRule="exact"/>
              <w:jc w:val="left"/>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sz w:val="21"/>
                <w:szCs w:val="21"/>
                <w:vertAlign w:val="baseline"/>
                <w:lang w:eastAsia="zh-CN"/>
              </w:rPr>
              <w:t>标准混气体</w:t>
            </w:r>
            <w:r>
              <w:rPr>
                <w:rFonts w:hint="eastAsia" w:ascii="仿宋_GB2312" w:hAnsi="仿宋_GB2312" w:eastAsia="仿宋_GB2312" w:cs="仿宋_GB2312"/>
                <w:b/>
                <w:bCs/>
                <w:kern w:val="0"/>
                <w:sz w:val="21"/>
                <w:szCs w:val="21"/>
                <w:lang w:eastAsia="zh-CN"/>
              </w:rPr>
              <w:t>（食品级）</w:t>
            </w:r>
          </w:p>
        </w:tc>
        <w:tc>
          <w:tcPr>
            <w:tcW w:w="2643" w:type="pct"/>
            <w:shd w:val="clear" w:color="auto" w:fill="FFFFFF"/>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526" w:afterAutospacing="0" w:line="390" w:lineRule="atLeast"/>
              <w:ind w:left="0" w:right="0"/>
              <w:rPr>
                <w:rFonts w:hint="eastAsia" w:ascii="仿宋_GB2312" w:hAnsi="仿宋_GB2312" w:eastAsia="仿宋_GB2312" w:cs="仿宋_GB2312"/>
                <w:b/>
                <w:bCs/>
                <w:color w:val="auto"/>
                <w:sz w:val="21"/>
                <w:szCs w:val="21"/>
                <w:lang w:eastAsia="zh-CN"/>
              </w:rPr>
            </w:pPr>
            <w:r>
              <w:rPr>
                <w:rFonts w:hint="eastAsia" w:ascii="仿宋_GB2312" w:hAnsi="仿宋_GB2312" w:eastAsia="仿宋_GB2312" w:cs="仿宋_GB2312"/>
                <w:b/>
                <w:bCs/>
                <w:i w:val="0"/>
                <w:caps w:val="0"/>
                <w:color w:val="auto"/>
                <w:spacing w:val="0"/>
                <w:sz w:val="21"/>
                <w:szCs w:val="21"/>
                <w:shd w:val="clear" w:color="auto" w:fill="FFFFFF"/>
              </w:rPr>
              <w:t>化学式</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N</w:t>
            </w:r>
            <w:r>
              <w:rPr>
                <w:rFonts w:hint="eastAsia" w:ascii="仿宋_GB2312" w:hAnsi="仿宋_GB2312" w:eastAsia="仿宋_GB2312" w:cs="仿宋_GB2312"/>
                <w:b/>
                <w:bCs/>
                <w:i w:val="0"/>
                <w:caps w:val="0"/>
                <w:color w:val="auto"/>
                <w:spacing w:val="0"/>
                <w:sz w:val="21"/>
                <w:szCs w:val="21"/>
                <w:shd w:val="clear" w:color="auto" w:fill="FFFFFF"/>
                <w:vertAlign w:val="baseline"/>
              </w:rPr>
              <w:t>2</w:t>
            </w:r>
            <w:r>
              <w:rPr>
                <w:rFonts w:hint="eastAsia" w:ascii="仿宋_GB2312" w:hAnsi="仿宋_GB2312" w:eastAsia="仿宋_GB2312" w:cs="仿宋_GB2312"/>
                <w:b/>
                <w:bCs/>
                <w:i w:val="0"/>
                <w:caps w:val="0"/>
                <w:color w:val="auto"/>
                <w:spacing w:val="0"/>
                <w:sz w:val="21"/>
                <w:szCs w:val="21"/>
                <w:shd w:val="clear" w:color="auto" w:fill="FFFFFF"/>
                <w:vertAlign w:val="baseline"/>
                <w:lang w:eastAsia="zh-CN"/>
              </w:rPr>
              <w:t>、</w:t>
            </w:r>
            <w:r>
              <w:rPr>
                <w:rFonts w:hint="eastAsia" w:ascii="仿宋_GB2312" w:hAnsi="仿宋_GB2312" w:eastAsia="仿宋_GB2312" w:cs="仿宋_GB2312"/>
                <w:b/>
                <w:bCs/>
                <w:i w:val="0"/>
                <w:caps w:val="0"/>
                <w:color w:val="auto"/>
                <w:spacing w:val="0"/>
                <w:sz w:val="21"/>
                <w:szCs w:val="21"/>
                <w:shd w:val="clear" w:color="auto" w:fill="FFFFFF"/>
                <w:vertAlign w:val="baseline"/>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分子量</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28.01</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熔    点-210 ℃</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沸    点-196 ℃</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水溶性</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微溶</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外观</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无色透明液体</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应 用</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快速冷冻、冷冻麻醉</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安全性描述</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S38</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危险性描述</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R20/21UN</w:t>
            </w:r>
            <w:r>
              <w:rPr>
                <w:rFonts w:hint="eastAsia" w:ascii="仿宋_GB2312" w:hAnsi="仿宋_GB2312" w:eastAsia="仿宋_GB2312" w:cs="仿宋_GB2312"/>
                <w:b/>
                <w:bCs/>
                <w:i w:val="0"/>
                <w:caps w:val="0"/>
                <w:color w:val="auto"/>
                <w:spacing w:val="0"/>
                <w:sz w:val="21"/>
                <w:szCs w:val="21"/>
                <w:shd w:val="clear" w:color="auto" w:fill="FFFFFF"/>
                <w:lang w:eastAsia="zh-CN"/>
              </w:rPr>
              <w:t>、</w:t>
            </w:r>
            <w:r>
              <w:rPr>
                <w:rFonts w:hint="eastAsia" w:ascii="仿宋_GB2312" w:hAnsi="仿宋_GB2312" w:eastAsia="仿宋_GB2312" w:cs="仿宋_GB2312"/>
                <w:b/>
                <w:bCs/>
                <w:i w:val="0"/>
                <w:caps w:val="0"/>
                <w:color w:val="auto"/>
                <w:spacing w:val="0"/>
                <w:sz w:val="21"/>
                <w:szCs w:val="21"/>
                <w:shd w:val="clear" w:color="auto" w:fill="FFFFFF"/>
              </w:rPr>
              <w:t>危险货物编号</w:t>
            </w:r>
            <w:r>
              <w:rPr>
                <w:rFonts w:hint="eastAsia" w:ascii="仿宋_GB2312" w:hAnsi="仿宋_GB2312" w:eastAsia="仿宋_GB2312" w:cs="仿宋_GB2312"/>
                <w:b/>
                <w:bCs/>
                <w:i w:val="0"/>
                <w:caps w:val="0"/>
                <w:color w:val="auto"/>
                <w:spacing w:val="0"/>
                <w:sz w:val="21"/>
                <w:szCs w:val="21"/>
                <w:shd w:val="clear" w:color="auto" w:fill="FFFFFF"/>
                <w:lang w:val="en-US" w:eastAsia="zh-CN"/>
              </w:rPr>
              <w:t xml:space="preserve"> </w:t>
            </w:r>
            <w:r>
              <w:rPr>
                <w:rFonts w:hint="eastAsia" w:ascii="仿宋_GB2312" w:hAnsi="仿宋_GB2312" w:eastAsia="仿宋_GB2312" w:cs="仿宋_GB2312"/>
                <w:b/>
                <w:bCs/>
                <w:i w:val="0"/>
                <w:caps w:val="0"/>
                <w:color w:val="auto"/>
                <w:spacing w:val="0"/>
                <w:sz w:val="21"/>
                <w:szCs w:val="21"/>
                <w:shd w:val="clear" w:color="auto" w:fill="FFFFFF"/>
              </w:rPr>
              <w:t>1066</w:t>
            </w:r>
            <w:r>
              <w:rPr>
                <w:rFonts w:hint="eastAsia" w:ascii="仿宋_GB2312" w:hAnsi="仿宋_GB2312" w:eastAsia="仿宋_GB2312" w:cs="仿宋_GB2312"/>
                <w:b/>
                <w:bCs/>
                <w:i w:val="0"/>
                <w:caps w:val="0"/>
                <w:color w:val="auto"/>
                <w:spacing w:val="0"/>
                <w:sz w:val="21"/>
                <w:szCs w:val="21"/>
                <w:shd w:val="clear" w:color="auto" w:fill="FFFFFF"/>
                <w:lang w:eastAsia="zh-CN"/>
              </w:rPr>
              <w:t>。</w:t>
            </w:r>
          </w:p>
          <w:p>
            <w:pPr>
              <w:widowControl/>
              <w:spacing w:line="300" w:lineRule="exact"/>
              <w:jc w:val="center"/>
              <w:rPr>
                <w:rFonts w:hint="eastAsia" w:ascii="仿宋_GB2312" w:hAnsi="仿宋_GB2312" w:eastAsia="仿宋_GB2312" w:cs="仿宋_GB2312"/>
                <w:b/>
                <w:bCs/>
                <w:kern w:val="0"/>
                <w:sz w:val="21"/>
                <w:szCs w:val="21"/>
              </w:rPr>
            </w:pPr>
          </w:p>
        </w:tc>
        <w:tc>
          <w:tcPr>
            <w:tcW w:w="587" w:type="pct"/>
            <w:shd w:val="clear" w:color="auto" w:fill="FFFFFF"/>
            <w:noWrap w:val="0"/>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40升</w:t>
            </w:r>
            <w:r>
              <w:rPr>
                <w:rFonts w:hint="eastAsia" w:ascii="仿宋_GB2312" w:hAnsi="仿宋_GB2312" w:eastAsia="仿宋_GB2312" w:cs="仿宋_GB2312"/>
                <w:b/>
                <w:bCs/>
                <w:kern w:val="0"/>
                <w:sz w:val="21"/>
                <w:szCs w:val="21"/>
              </w:rPr>
              <w:t>/瓶</w:t>
            </w:r>
          </w:p>
        </w:tc>
        <w:tc>
          <w:tcPr>
            <w:tcW w:w="554" w:type="pct"/>
            <w:shd w:val="clear" w:color="auto" w:fill="FFFFFF"/>
            <w:noWrap/>
            <w:vAlign w:val="center"/>
          </w:tcPr>
          <w:p>
            <w:pPr>
              <w:widowControl/>
              <w:spacing w:line="300" w:lineRule="exact"/>
              <w:jc w:val="center"/>
              <w:rPr>
                <w:rFonts w:hint="eastAsia" w:ascii="仿宋_GB2312" w:hAnsi="仿宋_GB2312" w:eastAsia="仿宋_GB2312" w:cs="仿宋_GB2312"/>
                <w:b/>
                <w:bCs/>
                <w:kern w:val="0"/>
                <w:sz w:val="21"/>
                <w:szCs w:val="21"/>
                <w:lang w:val="en-US" w:eastAsia="zh-CN"/>
              </w:rPr>
            </w:pPr>
            <w:r>
              <w:rPr>
                <w:rFonts w:hint="eastAsia" w:ascii="仿宋_GB2312" w:hAnsi="仿宋_GB2312" w:eastAsia="仿宋_GB2312" w:cs="仿宋_GB2312"/>
                <w:b/>
                <w:bCs/>
                <w:kern w:val="0"/>
                <w:sz w:val="21"/>
                <w:szCs w:val="21"/>
                <w:lang w:val="en-US" w:eastAsia="zh-CN"/>
              </w:rPr>
              <w:t>3300</w:t>
            </w:r>
          </w:p>
        </w:tc>
      </w:tr>
    </w:tbl>
    <w:p>
      <w:pPr>
        <w:numPr>
          <w:ilvl w:val="0"/>
          <w:numId w:val="0"/>
        </w:numPr>
        <w:spacing w:line="520" w:lineRule="exact"/>
        <w:ind w:firstLine="2249" w:firstLineChars="8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（二）、供应商要求：</w:t>
      </w:r>
    </w:p>
    <w:p>
      <w:pPr>
        <w:tabs>
          <w:tab w:val="left" w:pos="1050"/>
        </w:tabs>
        <w:spacing w:line="360" w:lineRule="auto"/>
        <w:jc w:val="both"/>
        <w:outlineLvl w:val="2"/>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1、具备《中华人民共和国政府采购法》第22条规定的条件；</w:t>
      </w:r>
    </w:p>
    <w:p>
      <w:pPr>
        <w:tabs>
          <w:tab w:val="left" w:pos="1050"/>
        </w:tabs>
        <w:spacing w:line="360" w:lineRule="auto"/>
        <w:jc w:val="both"/>
        <w:outlineLvl w:val="2"/>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2、本项目不接受联合体投标;</w:t>
      </w:r>
    </w:p>
    <w:p>
      <w:pPr>
        <w:tabs>
          <w:tab w:val="left" w:pos="1050"/>
        </w:tabs>
        <w:spacing w:line="360" w:lineRule="auto"/>
        <w:jc w:val="both"/>
        <w:outlineLvl w:val="2"/>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3、具有有效期内的《生产许可证》(生产范围包含本次招标内容)；</w:t>
      </w:r>
      <w:bookmarkStart w:id="0" w:name="_GoBack"/>
      <w:bookmarkEnd w:id="0"/>
    </w:p>
    <w:p>
      <w:pPr>
        <w:tabs>
          <w:tab w:val="left" w:pos="1050"/>
        </w:tabs>
        <w:spacing w:line="360" w:lineRule="auto"/>
        <w:jc w:val="both"/>
        <w:outlineLvl w:val="2"/>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4、具有有效期内的《经营许可证》;</w:t>
      </w:r>
    </w:p>
    <w:p>
      <w:pPr>
        <w:tabs>
          <w:tab w:val="left" w:pos="1050"/>
        </w:tabs>
        <w:spacing w:line="360" w:lineRule="auto"/>
        <w:jc w:val="both"/>
        <w:outlineLvl w:val="2"/>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5、具有有效期内的《危险化学品经营许可证》或有效期内的《安全生产许可证》（许可范围包括危险化学品生产）；</w:t>
      </w:r>
    </w:p>
    <w:p>
      <w:pPr>
        <w:tabs>
          <w:tab w:val="left" w:pos="1050"/>
        </w:tabs>
        <w:spacing w:line="360" w:lineRule="auto"/>
        <w:jc w:val="both"/>
        <w:outlineLvl w:val="2"/>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6、具有有效期内的《道路运输经营许可证》（经营范围包括化学品或者危险货物运输）或有效期内《道路危险货物运输许可证》；</w:t>
      </w:r>
    </w:p>
    <w:p>
      <w:pPr>
        <w:tabs>
          <w:tab w:val="left" w:pos="1050"/>
        </w:tabs>
        <w:spacing w:line="360" w:lineRule="auto"/>
        <w:ind w:firstLine="2811" w:firstLineChars="1000"/>
        <w:jc w:val="both"/>
        <w:outlineLvl w:val="2"/>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（三）商务要求</w:t>
      </w:r>
    </w:p>
    <w:p>
      <w:pPr>
        <w:spacing w:line="360" w:lineRule="auto"/>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526" w:firstLineChars="187"/>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3、所有货物必须符合国家相关强制性要求。</w:t>
      </w:r>
    </w:p>
    <w:p>
      <w:pPr>
        <w:spacing w:line="460" w:lineRule="exact"/>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sz w:val="28"/>
          <w:szCs w:val="28"/>
        </w:rPr>
        <w:t>4、技术支持：</w:t>
      </w:r>
    </w:p>
    <w:p>
      <w:pPr>
        <w:spacing w:line="440" w:lineRule="exact"/>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4.1中标人应向采购人提供全方位及时有效的技术支持和服务。</w:t>
      </w:r>
    </w:p>
    <w:p>
      <w:pPr>
        <w:spacing w:line="440" w:lineRule="exact"/>
        <w:ind w:firstLine="562" w:firstLineChars="200"/>
        <w:rPr>
          <w:rFonts w:hint="eastAsia" w:ascii="仿宋_GB2312" w:hAnsi="仿宋_GB2312" w:eastAsia="仿宋_GB2312" w:cs="仿宋_GB2312"/>
          <w:b/>
          <w:bCs/>
          <w:color w:val="FF0000"/>
          <w:sz w:val="28"/>
          <w:szCs w:val="28"/>
        </w:rPr>
      </w:pPr>
      <w:r>
        <w:rPr>
          <w:rFonts w:hint="eastAsia" w:ascii="仿宋_GB2312" w:hAnsi="仿宋_GB2312" w:eastAsia="仿宋_GB2312" w:cs="仿宋_GB2312"/>
          <w:b/>
          <w:bCs/>
          <w:sz w:val="28"/>
          <w:szCs w:val="28"/>
        </w:rPr>
        <w:t>4.2中标人负责供货、安装摆放完毕。</w:t>
      </w:r>
    </w:p>
    <w:p>
      <w:pPr>
        <w:spacing w:line="460" w:lineRule="exact"/>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5、质保及售后服务：</w:t>
      </w:r>
    </w:p>
    <w:p>
      <w:pPr>
        <w:spacing w:line="460" w:lineRule="exact"/>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color w:val="7030A0"/>
          <w:sz w:val="28"/>
          <w:szCs w:val="28"/>
        </w:rPr>
        <w:t>5.1中标人需对所有货物提供至少</w:t>
      </w:r>
      <w:r>
        <w:rPr>
          <w:rFonts w:hint="eastAsia" w:ascii="仿宋_GB2312" w:hAnsi="仿宋_GB2312" w:eastAsia="仿宋_GB2312" w:cs="仿宋_GB2312"/>
          <w:b/>
          <w:bCs/>
          <w:color w:val="7030A0"/>
          <w:sz w:val="28"/>
          <w:szCs w:val="28"/>
          <w:lang w:eastAsia="zh-CN"/>
        </w:rPr>
        <w:t>半</w:t>
      </w:r>
      <w:r>
        <w:rPr>
          <w:rFonts w:hint="eastAsia" w:ascii="仿宋_GB2312" w:hAnsi="仿宋_GB2312" w:eastAsia="仿宋_GB2312" w:cs="仿宋_GB2312"/>
          <w:b/>
          <w:bCs/>
          <w:color w:val="7030A0"/>
          <w:sz w:val="28"/>
          <w:szCs w:val="28"/>
        </w:rPr>
        <w:t>年的免费质保服务，自验收合格之日起计算。</w:t>
      </w:r>
      <w:r>
        <w:rPr>
          <w:rFonts w:hint="eastAsia" w:ascii="仿宋_GB2312" w:hAnsi="仿宋_GB2312" w:eastAsia="仿宋_GB2312" w:cs="仿宋_GB2312"/>
          <w:b/>
          <w:bCs/>
          <w:sz w:val="28"/>
          <w:szCs w:val="28"/>
        </w:rPr>
        <w:t>所有质保费用均已包含在总报价中。</w:t>
      </w:r>
    </w:p>
    <w:p>
      <w:pPr>
        <w:spacing w:line="360" w:lineRule="auto"/>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5.2售后服务响应时间：中标人需设有专门的售后服务队伍，建立完备的故障响应机制。如货物出现质量问题，电话响应无法解决，中标人必须在接到电话</w:t>
      </w:r>
      <w:r>
        <w:rPr>
          <w:rFonts w:hint="eastAsia" w:ascii="仿宋_GB2312" w:hAnsi="仿宋_GB2312" w:eastAsia="仿宋_GB2312" w:cs="仿宋_GB2312"/>
          <w:b/>
          <w:bCs/>
          <w:color w:val="7030A0"/>
          <w:sz w:val="28"/>
          <w:szCs w:val="28"/>
          <w:lang w:val="en-US" w:eastAsia="zh-CN"/>
        </w:rPr>
        <w:t>2</w:t>
      </w:r>
      <w:r>
        <w:rPr>
          <w:rFonts w:hint="eastAsia" w:ascii="仿宋_GB2312" w:hAnsi="仿宋_GB2312" w:eastAsia="仿宋_GB2312" w:cs="仿宋_GB2312"/>
          <w:b/>
          <w:bCs/>
          <w:color w:val="7030A0"/>
          <w:sz w:val="28"/>
          <w:szCs w:val="28"/>
        </w:rPr>
        <w:t>小时内到达现场,</w:t>
      </w:r>
      <w:r>
        <w:rPr>
          <w:rFonts w:hint="eastAsia" w:ascii="仿宋_GB2312" w:hAnsi="仿宋_GB2312" w:eastAsia="仿宋_GB2312" w:cs="仿宋_GB2312"/>
          <w:b/>
          <w:bCs/>
          <w:color w:val="7030A0"/>
          <w:sz w:val="28"/>
          <w:szCs w:val="28"/>
          <w:lang w:val="en-US" w:eastAsia="zh-CN"/>
        </w:rPr>
        <w:t>24</w:t>
      </w:r>
      <w:r>
        <w:rPr>
          <w:rFonts w:hint="eastAsia" w:ascii="仿宋_GB2312" w:hAnsi="仿宋_GB2312" w:eastAsia="仿宋_GB2312" w:cs="仿宋_GB2312"/>
          <w:b/>
          <w:bCs/>
          <w:color w:val="7030A0"/>
          <w:sz w:val="28"/>
          <w:szCs w:val="28"/>
        </w:rPr>
        <w:t>小时内解决问题</w:t>
      </w:r>
      <w:r>
        <w:rPr>
          <w:rFonts w:hint="eastAsia" w:ascii="仿宋_GB2312" w:hAnsi="仿宋_GB2312" w:eastAsia="仿宋_GB2312" w:cs="仿宋_GB2312"/>
          <w:b/>
          <w:bCs/>
          <w:sz w:val="28"/>
          <w:szCs w:val="28"/>
        </w:rPr>
        <w:t xml:space="preserve">。   </w:t>
      </w:r>
    </w:p>
    <w:p>
      <w:pPr>
        <w:spacing w:line="360" w:lineRule="auto"/>
        <w:ind w:firstLine="422" w:firstLineChars="15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5.3  服务期内由招标人对其服务质量进行考核,不合格可由招标人解除合同重新招标。</w:t>
      </w:r>
    </w:p>
    <w:p>
      <w:pPr>
        <w:spacing w:line="360" w:lineRule="auto"/>
        <w:ind w:left="315" w:leftChars="150"/>
        <w:outlineLvl w:val="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rPr>
        <w:t>6、付款方式：</w:t>
      </w:r>
      <w:r>
        <w:rPr>
          <w:rFonts w:hint="eastAsia" w:ascii="仿宋_GB2312" w:hAnsi="仿宋_GB2312" w:eastAsia="仿宋_GB2312" w:cs="仿宋_GB2312"/>
          <w:b/>
          <w:bCs/>
          <w:sz w:val="28"/>
          <w:szCs w:val="28"/>
          <w:lang w:eastAsia="zh-CN"/>
        </w:rPr>
        <w:t>经验收合格按运送批次</w:t>
      </w:r>
      <w:r>
        <w:rPr>
          <w:rFonts w:hint="eastAsia" w:ascii="仿宋_GB2312" w:hAnsi="仿宋_GB2312" w:eastAsia="仿宋_GB2312" w:cs="仿宋_GB2312"/>
          <w:b/>
          <w:bCs/>
          <w:sz w:val="28"/>
          <w:szCs w:val="28"/>
        </w:rPr>
        <w:t>付款</w:t>
      </w:r>
      <w:r>
        <w:rPr>
          <w:rFonts w:hint="eastAsia" w:ascii="仿宋_GB2312" w:hAnsi="仿宋_GB2312" w:eastAsia="仿宋_GB2312" w:cs="仿宋_GB2312"/>
          <w:b/>
          <w:bCs/>
          <w:sz w:val="28"/>
          <w:szCs w:val="28"/>
          <w:lang w:eastAsia="zh-CN"/>
        </w:rPr>
        <w:t>，付款期</w:t>
      </w:r>
      <w:r>
        <w:rPr>
          <w:rFonts w:hint="eastAsia" w:ascii="仿宋_GB2312" w:hAnsi="仿宋_GB2312" w:eastAsia="仿宋_GB2312" w:cs="仿宋_GB2312"/>
          <w:b/>
          <w:bCs/>
          <w:sz w:val="28"/>
          <w:szCs w:val="28"/>
          <w:lang w:val="en-US" w:eastAsia="zh-CN"/>
        </w:rPr>
        <w:t>60天</w:t>
      </w:r>
      <w:r>
        <w:rPr>
          <w:rFonts w:hint="eastAsia" w:ascii="仿宋_GB2312" w:hAnsi="仿宋_GB2312" w:eastAsia="仿宋_GB2312" w:cs="仿宋_GB2312"/>
          <w:b/>
          <w:bCs/>
          <w:sz w:val="28"/>
          <w:szCs w:val="28"/>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EAF0557"/>
    <w:rsid w:val="00055C19"/>
    <w:rsid w:val="001F1642"/>
    <w:rsid w:val="00424761"/>
    <w:rsid w:val="00484052"/>
    <w:rsid w:val="0058089F"/>
    <w:rsid w:val="00582ABA"/>
    <w:rsid w:val="006A3E5A"/>
    <w:rsid w:val="006F39C8"/>
    <w:rsid w:val="007C7C7B"/>
    <w:rsid w:val="008C3450"/>
    <w:rsid w:val="008F5D19"/>
    <w:rsid w:val="00B7682E"/>
    <w:rsid w:val="00E4158F"/>
    <w:rsid w:val="00E81592"/>
    <w:rsid w:val="00FB12F6"/>
    <w:rsid w:val="1A8720DF"/>
    <w:rsid w:val="1EAF0557"/>
    <w:rsid w:val="34226E07"/>
    <w:rsid w:val="3686302E"/>
    <w:rsid w:val="379E413B"/>
    <w:rsid w:val="3AA75A14"/>
    <w:rsid w:val="3BFC4E69"/>
    <w:rsid w:val="3C082746"/>
    <w:rsid w:val="422972C1"/>
    <w:rsid w:val="43B57857"/>
    <w:rsid w:val="5BC22CE3"/>
    <w:rsid w:val="5CFF7E75"/>
    <w:rsid w:val="60E907EC"/>
    <w:rsid w:val="61BE675D"/>
    <w:rsid w:val="65366B09"/>
    <w:rsid w:val="6F9A1E02"/>
    <w:rsid w:val="7C787D10"/>
    <w:rsid w:val="7D96118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11"/>
    <w:basedOn w:val="7"/>
    <w:qFormat/>
    <w:uiPriority w:val="0"/>
    <w:rPr>
      <w:rFonts w:hint="eastAsia" w:ascii="宋体" w:hAnsi="宋体" w:eastAsia="宋体" w:cs="宋体"/>
      <w:color w:val="000000"/>
      <w:sz w:val="22"/>
      <w:szCs w:val="22"/>
      <w:u w:val="none"/>
    </w:rPr>
  </w:style>
  <w:style w:type="character" w:customStyle="1" w:styleId="9">
    <w:name w:val="页眉 Char"/>
    <w:basedOn w:val="7"/>
    <w:link w:val="4"/>
    <w:qFormat/>
    <w:uiPriority w:val="0"/>
    <w:rPr>
      <w:kern w:val="2"/>
      <w:sz w:val="18"/>
      <w:szCs w:val="18"/>
    </w:rPr>
  </w:style>
  <w:style w:type="character" w:customStyle="1" w:styleId="10">
    <w:name w:val="页脚 Char"/>
    <w:basedOn w:val="7"/>
    <w:link w:val="3"/>
    <w:qFormat/>
    <w:uiPriority w:val="0"/>
    <w:rPr>
      <w:kern w:val="2"/>
      <w:sz w:val="18"/>
      <w:szCs w:val="18"/>
    </w:rPr>
  </w:style>
  <w:style w:type="paragraph" w:styleId="11">
    <w:name w:val="List Paragraph"/>
    <w:basedOn w:val="1"/>
    <w:unhideWhenUsed/>
    <w:qFormat/>
    <w:uiPriority w:val="99"/>
    <w:pPr>
      <w:ind w:firstLine="420" w:firstLineChars="200"/>
    </w:pPr>
  </w:style>
  <w:style w:type="character" w:customStyle="1" w:styleId="12">
    <w:name w:val="font01"/>
    <w:basedOn w:val="7"/>
    <w:qFormat/>
    <w:uiPriority w:val="0"/>
    <w:rPr>
      <w:rFonts w:hint="eastAsia" w:ascii="宋体" w:hAnsi="宋体" w:eastAsia="宋体" w:cs="宋体"/>
      <w:color w:val="000000"/>
      <w:sz w:val="22"/>
      <w:szCs w:val="22"/>
      <w:u w:val="none"/>
    </w:rPr>
  </w:style>
  <w:style w:type="character" w:customStyle="1" w:styleId="13">
    <w:name w:val="font61"/>
    <w:basedOn w:val="7"/>
    <w:qFormat/>
    <w:uiPriority w:val="0"/>
    <w:rPr>
      <w:rFonts w:hint="eastAsia" w:ascii="宋体" w:hAnsi="宋体" w:eastAsia="宋体" w:cs="宋体"/>
      <w:color w:val="000000"/>
      <w:sz w:val="20"/>
      <w:szCs w:val="20"/>
      <w:u w:val="none"/>
    </w:rPr>
  </w:style>
  <w:style w:type="character" w:customStyle="1" w:styleId="14">
    <w:name w:val="font91"/>
    <w:basedOn w:val="7"/>
    <w:qFormat/>
    <w:uiPriority w:val="0"/>
    <w:rPr>
      <w:rFonts w:hint="default" w:ascii="Times New Roman" w:hAnsi="Times New Roman" w:cs="Times New Roman"/>
      <w:color w:val="000000"/>
      <w:sz w:val="20"/>
      <w:szCs w:val="20"/>
      <w:u w:val="none"/>
    </w:rPr>
  </w:style>
  <w:style w:type="character" w:customStyle="1" w:styleId="15">
    <w:name w:val="font81"/>
    <w:basedOn w:val="7"/>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415</Words>
  <Characters>242</Characters>
  <Lines>2</Lines>
  <Paragraphs>1</Paragraphs>
  <TotalTime>7</TotalTime>
  <ScaleCrop>false</ScaleCrop>
  <LinksUpToDate>false</LinksUpToDate>
  <CharactersWithSpaces>656</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风飞学舞</cp:lastModifiedBy>
  <cp:lastPrinted>2020-12-09T00:42:00Z</cp:lastPrinted>
  <dcterms:modified xsi:type="dcterms:W3CDTF">2021-11-12T08:34:40Z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073B136851254D5498ABCED079BE3583</vt:lpwstr>
  </property>
</Properties>
</file>